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Lines="0" w:afterLines="0" w:line="700" w:lineRule="exact"/>
        <w:jc w:val="center"/>
        <w:rPr>
          <w:rFonts w:hint="eastAsia" w:ascii="方正小标宋简体" w:hAnsi="方正小标宋简体" w:eastAsia="方正小标宋简体" w:cs="方正小标宋简体"/>
          <w:sz w:val="44"/>
          <w:szCs w:val="44"/>
        </w:rPr>
      </w:pPr>
    </w:p>
    <w:p>
      <w:pPr>
        <w:pStyle w:val="3"/>
        <w:widowControl/>
        <w:spacing w:beforeLines="0" w:afterLines="0"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侯马市2022年政府信息公开工作</w:t>
      </w:r>
    </w:p>
    <w:p>
      <w:pPr>
        <w:pStyle w:val="3"/>
        <w:widowControl/>
        <w:spacing w:beforeLines="0" w:afterLines="0"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根据《中华人民共和国政府信息公开条例》和</w:t>
      </w:r>
      <w:r>
        <w:rPr>
          <w:rFonts w:hint="eastAsia" w:ascii="仿宋_GB2312" w:hAnsi="仿宋_GB2312" w:eastAsia="仿宋_GB2312" w:cs="仿宋_GB2312"/>
          <w:sz w:val="32"/>
          <w:szCs w:val="32"/>
        </w:rPr>
        <w:t>《国务院办公厅政府信息与政务公开办公室关于政府信息公开工作年度报告有关事项的通知》以及省、市有</w:t>
      </w:r>
      <w:r>
        <w:rPr>
          <w:rFonts w:hint="eastAsia" w:ascii="仿宋_GB2312" w:hAnsi="仿宋_GB2312" w:eastAsia="仿宋_GB2312" w:cs="仿宋_GB2312"/>
          <w:sz w:val="32"/>
          <w:szCs w:val="32"/>
          <w:shd w:val="clear" w:color="auto" w:fill="FFFFFF"/>
        </w:rPr>
        <w:t>关政府信息公开工作相关精神编制了2022年政府信息公开工作年度报告。报告由总体情况、主动公开政府信息情况、收到和处理政府信息公开申请情况、政府信息公开行政复议和行政诉讼情况、存在的问题及改进措施、其他需要报告的事项等六部分组成。本报告中所列数据的统计期限自2022年1月1日起，至2022年12月31日止。</w:t>
      </w:r>
    </w:p>
    <w:p>
      <w:pPr>
        <w:pStyle w:val="3"/>
        <w:widowControl/>
        <w:spacing w:before="0" w:beforeLines="0" w:beforeAutospacing="0" w:after="0" w:afterLines="0" w:afterAutospacing="0" w:line="600" w:lineRule="exact"/>
        <w:ind w:firstLine="645"/>
        <w:jc w:val="both"/>
        <w:rPr>
          <w:rFonts w:hint="default"/>
          <w:sz w:val="24"/>
          <w:szCs w:val="24"/>
        </w:rPr>
      </w:pPr>
      <w:r>
        <w:rPr>
          <w:rFonts w:hint="eastAsia" w:ascii="黑体" w:hAnsi="宋体" w:eastAsia="黑体" w:cs="黑体"/>
          <w:sz w:val="31"/>
          <w:szCs w:val="31"/>
          <w:shd w:val="clear" w:color="auto" w:fill="FFFFFF"/>
        </w:rPr>
        <w:t>一、总体情况</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2022年，侯马市人民政府在临汾市委、市政府的坚强领导下，坚持以习近平新时代中国特色社会主义思想为指导，深入贯彻党的十九大及十九届历次全会精神、</w:t>
      </w:r>
      <w:r>
        <w:rPr>
          <w:rFonts w:hint="eastAsia" w:ascii="仿宋_GB2312" w:hAnsi="黑体" w:eastAsia="仿宋_GB2312"/>
          <w:color w:val="000000"/>
          <w:kern w:val="21"/>
          <w:sz w:val="32"/>
          <w:szCs w:val="32"/>
        </w:rPr>
        <w:t>认真学习领会党的二十大精神</w:t>
      </w:r>
      <w:r>
        <w:rPr>
          <w:rFonts w:hint="eastAsia" w:ascii="仿宋_GB2312" w:hAnsi="仿宋_GB2312" w:eastAsia="仿宋_GB2312" w:cs="仿宋_GB2312"/>
          <w:sz w:val="32"/>
          <w:szCs w:val="32"/>
          <w:shd w:val="clear" w:color="auto" w:fill="FFFFFF"/>
        </w:rPr>
        <w:t>和习近平总书记视察山西重要讲话重要指示精神，全面执行新修订的《中华人民共和国政府信息公开条例》，健全机制、完善制度，不断夯实政府信息主动公开、政府信息依申请公开、政府信息公开平台建设、政府信息管理、政务公开机制建设等工作基础，政务公开整体水平稳步提升。</w:t>
      </w:r>
    </w:p>
    <w:p>
      <w:pPr>
        <w:pStyle w:val="3"/>
        <w:widowControl/>
        <w:spacing w:beforeLines="0" w:beforeAutospacing="0" w:afterLines="0" w:afterAutospacing="0" w:line="600" w:lineRule="exact"/>
        <w:ind w:firstLine="315"/>
        <w:jc w:val="both"/>
        <w:rPr>
          <w:rFonts w:hint="default"/>
          <w:sz w:val="24"/>
          <w:szCs w:val="24"/>
        </w:rPr>
      </w:pPr>
      <w:r>
        <w:rPr>
          <w:rStyle w:val="6"/>
          <w:rFonts w:hint="eastAsia" w:ascii="楷体_GB2312" w:hAnsi="Times New Roman" w:eastAsia="楷体_GB2312" w:cs="楷体_GB2312"/>
          <w:sz w:val="31"/>
          <w:szCs w:val="31"/>
        </w:rPr>
        <w:t>（一）主动公开方面</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持续加大重点领域信息公开力度。聚焦“十四五”规划、“放管服”改革、乡村振兴、生态环保等重点领域，发布国家、省、市各项政策举措，有效提高了政府工作透明度，切实保障了人民群众知情权、参与权、表达权、监督权。全年在市政府门户网站共发布相关信息3691条，其中概括类信息为2058条，政务动态信息更新量为520条，信息公开目录信息更新量为1113条。</w:t>
      </w:r>
    </w:p>
    <w:p>
      <w:pPr>
        <w:pStyle w:val="3"/>
        <w:widowControl/>
        <w:spacing w:beforeLines="0" w:beforeAutospacing="0" w:afterLines="0" w:afterAutospacing="0" w:line="600" w:lineRule="exact"/>
        <w:ind w:firstLine="645"/>
        <w:rPr>
          <w:rFonts w:hint="default"/>
          <w:sz w:val="24"/>
          <w:szCs w:val="24"/>
        </w:rPr>
      </w:pPr>
      <w:r>
        <w:rPr>
          <w:rFonts w:hint="eastAsia" w:ascii="仿宋_GB2312" w:hAnsi="仿宋_GB2312" w:eastAsia="仿宋_GB2312" w:cs="仿宋_GB2312"/>
          <w:sz w:val="32"/>
          <w:szCs w:val="32"/>
          <w:shd w:val="clear" w:color="auto" w:fill="FFFFFF"/>
        </w:rPr>
        <w:t>二是完善文件公开属性认定与政策性文件解读。全年公开属性认定文件共143件，其中侯政发12件、侯政办发74件、侯政函29件、侯政办函28件。文件公开数量为102件，其中侯政发7件、侯政办发69件、侯政函4件、侯政办函22件。进行政策解读的为侯政发与侯政办发共71件，文件解读材料和政策文件按照“同步起草、同步审批、同步发布”要求，全部进行了同步解读,多方式解读率达100%，切实增强政策解读的可视性和可感性。同时利用多种融媒体、广播等方式发布解读材料，扩大受众面，提升政策知晓度，有效提升了政府工作透明度，进一步满足了社会公众获取和利用政府信息的需求</w:t>
      </w:r>
      <w:r>
        <w:rPr>
          <w:rFonts w:hint="eastAsia" w:ascii="仿宋_GB2312" w:eastAsia="仿宋_GB2312" w:cs="仿宋_GB2312"/>
          <w:sz w:val="31"/>
          <w:szCs w:val="31"/>
        </w:rPr>
        <w:t>。</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是进一步推进基层政务公开标准化规范化建设。按照上级要求，及时组织更新、有效运用基层政务公开标准化、规范化事项标准目录，同时在去年的基础上进行了重新修订，并及时修改政府门户网站基层政务信息公开栏目相关内容，基层政务公开标准化规范化建设水平持续提升。</w:t>
      </w:r>
    </w:p>
    <w:p>
      <w:pPr>
        <w:pStyle w:val="3"/>
        <w:widowControl/>
        <w:spacing w:beforeLines="0" w:beforeAutospacing="0" w:afterLines="0" w:afterAutospacing="0" w:line="600" w:lineRule="exact"/>
        <w:ind w:firstLine="645"/>
        <w:rPr>
          <w:rFonts w:hint="default"/>
          <w:sz w:val="24"/>
          <w:szCs w:val="24"/>
        </w:rPr>
      </w:pPr>
      <w:r>
        <w:rPr>
          <w:rStyle w:val="6"/>
          <w:rFonts w:hint="eastAsia" w:ascii="楷体_GB2312" w:hAnsi="Times New Roman" w:eastAsia="楷体_GB2312" w:cs="楷体_GB2312"/>
          <w:sz w:val="31"/>
          <w:szCs w:val="31"/>
        </w:rPr>
        <w:t>（二）依申请公开方面</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严格规范办理流程。进一步完善政府信息公开申请的接收、登记、审核、办理、答复、存档等工作程序，依法依规办理公民、法人和其他组织提交的政府信息公开申请，最大限度为申请人提供相关政府信息，切实保障申请人权利。</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二是规范答复文书格式。建立依申请公开工作台账，书面征询下级政府或相应职能部门意见，按时依法依规答复。受理公民向市政府和市政府办公室提出的政府信息公开申请2件，办结率100%。</w:t>
      </w:r>
    </w:p>
    <w:p>
      <w:pPr>
        <w:pStyle w:val="3"/>
        <w:widowControl/>
        <w:spacing w:beforeLines="0" w:beforeAutospacing="0" w:afterLines="0" w:afterAutospacing="0" w:line="600" w:lineRule="exact"/>
        <w:ind w:firstLine="645"/>
        <w:rPr>
          <w:rFonts w:hint="default"/>
          <w:sz w:val="24"/>
          <w:szCs w:val="24"/>
        </w:rPr>
      </w:pPr>
      <w:r>
        <w:rPr>
          <w:rStyle w:val="6"/>
          <w:rFonts w:hint="eastAsia" w:ascii="楷体_GB2312" w:hAnsi="Times New Roman" w:eastAsia="楷体_GB2312" w:cs="楷体_GB2312"/>
          <w:sz w:val="31"/>
          <w:szCs w:val="31"/>
        </w:rPr>
        <w:t>（三）加强监督管理</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加强对政府信息公开工作的日常指导和监督检查，确保政务公开工作取得实效。将政府信息公开纳入全市考核，制定2022年度政务公开工作任务分工细则、考核细则、评分标准，有效发挥考核的检验、评价、改进和推动作用，促进政务公开工作更加扎实高效开展。 </w:t>
      </w:r>
    </w:p>
    <w:p>
      <w:pPr>
        <w:pStyle w:val="3"/>
        <w:widowControl/>
        <w:spacing w:before="0" w:beforeLines="0" w:beforeAutospacing="0" w:after="0" w:afterLines="0" w:afterAutospacing="0" w:line="570" w:lineRule="atLeast"/>
        <w:ind w:left="210" w:firstLine="645"/>
        <w:jc w:val="both"/>
        <w:rPr>
          <w:rFonts w:hint="default"/>
          <w:sz w:val="24"/>
          <w:szCs w:val="24"/>
        </w:rPr>
      </w:pPr>
      <w:r>
        <w:rPr>
          <w:rFonts w:hint="eastAsia" w:ascii="黑体" w:hAnsi="宋体" w:eastAsia="黑体" w:cs="黑体"/>
          <w:sz w:val="31"/>
          <w:szCs w:val="31"/>
          <w:shd w:val="clear" w:color="auto" w:fill="FFFFFF"/>
        </w:rPr>
        <w:t>二、主动公开政府信息情况</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2103"/>
        <w:gridCol w:w="2103"/>
        <w:gridCol w:w="2103"/>
        <w:gridCol w:w="211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l2br w:val="nil"/>
              <w:tr2bl w:val="nil"/>
            </w:tcBorders>
            <w:shd w:val="clear" w:color="auto" w:fill="C6D9F1"/>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信息内容</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本年制发件数</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本年废止件数</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规章</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行政规范性文件</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sz w:val="24"/>
                <w:szCs w:val="24"/>
              </w:rPr>
              <w:t>5</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sz w:val="24"/>
                <w:szCs w:val="24"/>
              </w:rPr>
              <w:t>24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l2br w:val="nil"/>
              <w:tr2bl w:val="nil"/>
            </w:tcBorders>
            <w:shd w:val="clear" w:color="auto" w:fill="C6D9F1"/>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信息内容</w:t>
            </w:r>
          </w:p>
        </w:tc>
        <w:tc>
          <w:tcPr>
            <w:tcW w:w="7305"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行政许可</w:t>
            </w:r>
          </w:p>
        </w:tc>
        <w:tc>
          <w:tcPr>
            <w:tcW w:w="7305"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14549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l2br w:val="nil"/>
              <w:tr2bl w:val="nil"/>
            </w:tcBorders>
            <w:shd w:val="clear" w:color="auto" w:fill="C6D9F1"/>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信息内容</w:t>
            </w:r>
          </w:p>
        </w:tc>
        <w:tc>
          <w:tcPr>
            <w:tcW w:w="7305"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行政处罚</w:t>
            </w:r>
          </w:p>
        </w:tc>
        <w:tc>
          <w:tcPr>
            <w:tcW w:w="7305"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3188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行政强制</w:t>
            </w:r>
          </w:p>
        </w:tc>
        <w:tc>
          <w:tcPr>
            <w:tcW w:w="7305"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2639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9735" w:type="dxa"/>
            <w:gridSpan w:val="4"/>
            <w:tcBorders>
              <w:top w:val="single" w:color="auto" w:sz="6" w:space="0"/>
              <w:left w:val="single" w:color="auto" w:sz="6" w:space="0"/>
              <w:bottom w:val="single" w:color="auto" w:sz="6" w:space="0"/>
              <w:right w:val="single" w:color="auto" w:sz="6" w:space="0"/>
              <w:tl2br w:val="nil"/>
              <w:tr2bl w:val="nil"/>
            </w:tcBorders>
            <w:shd w:val="clear" w:color="auto" w:fill="C6D9F1"/>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信息内容</w:t>
            </w:r>
          </w:p>
        </w:tc>
        <w:tc>
          <w:tcPr>
            <w:tcW w:w="7305" w:type="dxa"/>
            <w:gridSpan w:val="3"/>
            <w:tcBorders>
              <w:top w:val="single" w:color="auto" w:sz="6" w:space="0"/>
              <w:left w:val="single" w:color="auto" w:sz="6" w:space="0"/>
              <w:bottom w:val="single" w:color="auto" w:sz="6" w:space="0"/>
              <w:right w:val="single" w:color="000000"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45" w:hRule="atLeast"/>
        </w:trPr>
        <w:tc>
          <w:tcPr>
            <w:tcW w:w="2430"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行政事业性收费</w:t>
            </w:r>
          </w:p>
        </w:tc>
        <w:tc>
          <w:tcPr>
            <w:tcW w:w="7305" w:type="dxa"/>
            <w:gridSpan w:val="3"/>
            <w:tcBorders>
              <w:top w:val="single" w:color="auto" w:sz="6" w:space="0"/>
              <w:left w:val="single" w:color="auto" w:sz="6" w:space="0"/>
              <w:bottom w:val="single" w:color="auto" w:sz="6" w:space="0"/>
              <w:right w:val="single" w:color="000000" w:sz="6" w:space="0"/>
              <w:tl2br w:val="nil"/>
              <w:tr2bl w:val="nil"/>
            </w:tcBorders>
            <w:noWrap w:val="0"/>
            <w:tcMar>
              <w:top w:w="0" w:type="dxa"/>
              <w:left w:w="60" w:type="dxa"/>
              <w:bottom w:w="0" w:type="dxa"/>
              <w:right w:w="60" w:type="dxa"/>
            </w:tcMar>
            <w:vAlign w:val="center"/>
          </w:tcPr>
          <w:p>
            <w:pPr>
              <w:pStyle w:val="3"/>
              <w:widowControl/>
              <w:wordWrap w:val="0"/>
              <w:spacing w:beforeLines="0" w:afterLines="0"/>
              <w:jc w:val="center"/>
              <w:rPr>
                <w:rFonts w:hint="default"/>
                <w:sz w:val="24"/>
                <w:szCs w:val="24"/>
              </w:rPr>
            </w:pPr>
            <w:r>
              <w:rPr>
                <w:rFonts w:hint="eastAsia"/>
                <w:sz w:val="24"/>
                <w:szCs w:val="24"/>
              </w:rPr>
              <w:t>173.2780</w:t>
            </w:r>
          </w:p>
        </w:tc>
      </w:tr>
    </w:tbl>
    <w:p>
      <w:pPr>
        <w:pStyle w:val="3"/>
        <w:widowControl/>
        <w:spacing w:before="0" w:beforeLines="0" w:beforeAutospacing="0" w:after="0" w:afterLines="0" w:afterAutospacing="0" w:line="555" w:lineRule="atLeast"/>
        <w:ind w:firstLine="645"/>
        <w:jc w:val="both"/>
        <w:rPr>
          <w:rFonts w:hint="default"/>
          <w:sz w:val="24"/>
          <w:szCs w:val="24"/>
        </w:rPr>
      </w:pPr>
      <w:r>
        <w:rPr>
          <w:rFonts w:hint="eastAsia" w:ascii="黑体" w:hAnsi="宋体" w:eastAsia="黑体" w:cs="黑体"/>
          <w:sz w:val="31"/>
          <w:szCs w:val="31"/>
          <w:shd w:val="clear" w:color="auto" w:fill="FFFFFF"/>
        </w:rPr>
        <w:t>三、收到和处理政府信息公开申请情况</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706"/>
        <w:gridCol w:w="889"/>
        <w:gridCol w:w="2785"/>
        <w:gridCol w:w="442"/>
        <w:gridCol w:w="606"/>
        <w:gridCol w:w="606"/>
        <w:gridCol w:w="606"/>
        <w:gridCol w:w="619"/>
        <w:gridCol w:w="606"/>
        <w:gridCol w:w="60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380" w:type="dxa"/>
            <w:gridSpan w:val="3"/>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Lines="0" w:afterLines="0"/>
              <w:rPr>
                <w:rFonts w:hint="default"/>
                <w:sz w:val="24"/>
                <w:szCs w:val="24"/>
              </w:rPr>
            </w:pPr>
            <w:r>
              <w:rPr>
                <w:rFonts w:hint="eastAsia" w:ascii="楷体" w:hAnsi="楷体" w:eastAsia="楷体" w:cs="楷体"/>
                <w:sz w:val="19"/>
                <w:szCs w:val="19"/>
              </w:rPr>
              <w:t>（本列数据的勾稽关系为：第一项加第二项之和，等于第三项加第四项之和）</w:t>
            </w:r>
          </w:p>
        </w:tc>
        <w:tc>
          <w:tcPr>
            <w:tcW w:w="4091" w:type="dxa"/>
            <w:gridSpan w:val="7"/>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380" w:type="dxa"/>
            <w:gridSpan w:val="3"/>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spacing w:beforeLines="0" w:afterLines="0"/>
              <w:rPr>
                <w:rFonts w:hint="default" w:ascii="sans-serif" w:hAnsi="sans-serif" w:eastAsia="sans-serif" w:cs="sans-serif"/>
                <w:sz w:val="24"/>
                <w:szCs w:val="24"/>
              </w:rPr>
            </w:pPr>
          </w:p>
        </w:tc>
        <w:tc>
          <w:tcPr>
            <w:tcW w:w="442"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自然人</w:t>
            </w:r>
          </w:p>
        </w:tc>
        <w:tc>
          <w:tcPr>
            <w:tcW w:w="3043" w:type="dxa"/>
            <w:gridSpan w:val="5"/>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法人或其他组织</w:t>
            </w:r>
          </w:p>
        </w:tc>
        <w:tc>
          <w:tcPr>
            <w:tcW w:w="606"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85" w:hRule="atLeast"/>
        </w:trPr>
        <w:tc>
          <w:tcPr>
            <w:tcW w:w="4380" w:type="dxa"/>
            <w:gridSpan w:val="3"/>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spacing w:beforeLines="0" w:afterLines="0"/>
              <w:rPr>
                <w:rFonts w:hint="default" w:ascii="sans-serif" w:hAnsi="sans-serif" w:eastAsia="sans-serif" w:cs="sans-serif"/>
                <w:sz w:val="24"/>
                <w:szCs w:val="24"/>
              </w:rPr>
            </w:pPr>
          </w:p>
        </w:tc>
        <w:tc>
          <w:tcPr>
            <w:tcW w:w="442"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商业</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企业</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科研</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机构</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社会公益组织</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法律服务机构</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其他</w:t>
            </w:r>
          </w:p>
        </w:tc>
        <w:tc>
          <w:tcPr>
            <w:tcW w:w="6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380"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一、本年新收政府信息公开申请数量</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eastAsia"/>
                <w:sz w:val="21"/>
                <w:szCs w:val="24"/>
              </w:rPr>
            </w:pPr>
            <w:r>
              <w:rPr>
                <w:rFonts w:hint="eastAsia" w:cs="Calibri"/>
                <w:kern w:val="0"/>
                <w:sz w:val="20"/>
                <w:szCs w:val="20"/>
                <w:lang w:bidi="ar"/>
              </w:rPr>
              <w:t>1</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default" w:cs="Calibri"/>
                <w:kern w:val="0"/>
                <w:sz w:val="20"/>
                <w:szCs w:val="20"/>
                <w:lang w:bidi="ar"/>
              </w:rPr>
              <w:t> </w:t>
            </w:r>
            <w:r>
              <w:rPr>
                <w:rFonts w:hint="eastAsia" w:cs="Calibri"/>
                <w:kern w:val="0"/>
                <w:sz w:val="20"/>
                <w:szCs w:val="20"/>
                <w:lang w:bidi="ar"/>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default" w:cs="Calibri"/>
                <w:kern w:val="0"/>
                <w:sz w:val="20"/>
                <w:szCs w:val="20"/>
                <w:lang w:bidi="ar"/>
              </w:rPr>
              <w:t> </w:t>
            </w:r>
            <w:r>
              <w:rPr>
                <w:rFonts w:hint="eastAsia" w:cs="Calibri"/>
                <w:kern w:val="0"/>
                <w:sz w:val="20"/>
                <w:szCs w:val="20"/>
                <w:lang w:bidi="ar"/>
              </w:rPr>
              <w:t>1</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default" w:cs="Calibri"/>
                <w:kern w:val="0"/>
                <w:sz w:val="20"/>
                <w:szCs w:val="20"/>
                <w:lang w:bidi="ar"/>
              </w:rPr>
              <w:t> </w:t>
            </w:r>
            <w:r>
              <w:rPr>
                <w:rFonts w:hint="eastAsia" w:cs="Calibri"/>
                <w:kern w:val="0"/>
                <w:sz w:val="20"/>
                <w:szCs w:val="20"/>
                <w:lang w:bidi="ar"/>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tabs>
                <w:tab w:val="left" w:pos="202"/>
                <w:tab w:val="center" w:pos="346"/>
              </w:tabs>
              <w:spacing w:beforeLines="0" w:afterLines="0"/>
              <w:jc w:val="left"/>
              <w:rPr>
                <w:rFonts w:hint="default"/>
                <w:sz w:val="21"/>
                <w:szCs w:val="24"/>
              </w:rPr>
            </w:pPr>
            <w:r>
              <w:rPr>
                <w:rFonts w:hint="eastAsia" w:cs="Calibri"/>
                <w:kern w:val="0"/>
                <w:sz w:val="20"/>
                <w:szCs w:val="20"/>
                <w:lang w:bidi="ar"/>
              </w:rPr>
              <w:tab/>
            </w:r>
            <w:r>
              <w:rPr>
                <w:rFonts w:hint="eastAsia" w:cs="Calibri"/>
                <w:kern w:val="0"/>
                <w:sz w:val="20"/>
                <w:szCs w:val="20"/>
                <w:lang w:bidi="ar"/>
              </w:rPr>
              <w:t>0</w:t>
            </w:r>
            <w:r>
              <w:rPr>
                <w:rFonts w:hint="eastAsia" w:cs="Calibri"/>
                <w:kern w:val="0"/>
                <w:sz w:val="20"/>
                <w:szCs w:val="20"/>
                <w:lang w:bidi="ar"/>
              </w:rPr>
              <w:tab/>
            </w:r>
            <w:r>
              <w:rPr>
                <w:rFonts w:hint="default" w:cs="Calibri"/>
                <w:kern w:val="0"/>
                <w:sz w:val="20"/>
                <w:szCs w:val="20"/>
                <w:lang w:bidi="ar"/>
              </w:rPr>
              <w:t> </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eastAsia" w:cs="Calibri"/>
                <w:kern w:val="0"/>
                <w:sz w:val="20"/>
                <w:szCs w:val="20"/>
                <w:lang w:bidi="ar"/>
              </w:rPr>
              <w:t>0</w:t>
            </w:r>
            <w:r>
              <w:rPr>
                <w:rFonts w:hint="default" w:cs="Calibri"/>
                <w:kern w:val="0"/>
                <w:sz w:val="20"/>
                <w:szCs w:val="20"/>
                <w:lang w:bidi="ar"/>
              </w:rPr>
              <w:t> </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widowControl/>
              <w:spacing w:beforeLines="0" w:afterLines="0"/>
              <w:jc w:val="center"/>
              <w:rPr>
                <w:rFonts w:hint="eastAsia"/>
                <w:sz w:val="21"/>
                <w:szCs w:val="24"/>
              </w:rPr>
            </w:pPr>
            <w:r>
              <w:rPr>
                <w:rFonts w:hint="eastAsia" w:cs="Calibri"/>
                <w:kern w:val="0"/>
                <w:sz w:val="20"/>
                <w:szCs w:val="20"/>
                <w:lang w:bidi="ar"/>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380"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二、上年结转政府信息公开申请数量</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三、本年度办理结果</w:t>
            </w:r>
          </w:p>
        </w:tc>
        <w:tc>
          <w:tcPr>
            <w:tcW w:w="3674" w:type="dxa"/>
            <w:gridSpan w:val="2"/>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（一）予以公开</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eastAsia"/>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eastAsia"/>
                <w:sz w:val="24"/>
                <w:szCs w:val="24"/>
              </w:rPr>
            </w:pPr>
            <w:r>
              <w:rPr>
                <w:rFonts w:hint="eastAsia" w:ascii="宋体" w:hAnsi="宋体" w:cs="宋体"/>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25" w:hRule="atLeast"/>
        </w:trPr>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3674" w:type="dxa"/>
            <w:gridSpan w:val="2"/>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（二）部分公开</w:t>
            </w:r>
            <w:r>
              <w:rPr>
                <w:rFonts w:hint="eastAsia" w:ascii="楷体" w:hAnsi="楷体" w:eastAsia="楷体" w:cs="楷体"/>
                <w:sz w:val="19"/>
                <w:szCs w:val="19"/>
              </w:rPr>
              <w:t>（区分处理的，只计这一情形，不计其他情形）</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eastAsia" w:cs="Calibri"/>
                <w:kern w:val="0"/>
                <w:sz w:val="20"/>
                <w:szCs w:val="20"/>
                <w:lang w:bidi="ar"/>
              </w:rPr>
              <w:t>1</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default" w:cs="Calibri"/>
                <w:kern w:val="0"/>
                <w:sz w:val="20"/>
                <w:szCs w:val="20"/>
                <w:lang w:bidi="ar"/>
              </w:rPr>
              <w:t> </w:t>
            </w:r>
            <w:r>
              <w:rPr>
                <w:rFonts w:hint="eastAsia" w:cs="Calibri"/>
                <w:kern w:val="0"/>
                <w:sz w:val="20"/>
                <w:szCs w:val="20"/>
                <w:lang w:bidi="ar"/>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default" w:cs="Calibri"/>
                <w:kern w:val="0"/>
                <w:sz w:val="20"/>
                <w:szCs w:val="20"/>
                <w:lang w:bidi="ar"/>
              </w:rPr>
              <w:t> </w:t>
            </w:r>
            <w:r>
              <w:rPr>
                <w:rFonts w:hint="eastAsia" w:cs="Calibri"/>
                <w:kern w:val="0"/>
                <w:sz w:val="20"/>
                <w:szCs w:val="20"/>
                <w:lang w:bidi="ar"/>
              </w:rPr>
              <w:t>1</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default" w:cs="Calibri"/>
                <w:kern w:val="0"/>
                <w:sz w:val="20"/>
                <w:szCs w:val="20"/>
                <w:lang w:bidi="ar"/>
              </w:rPr>
              <w:t> </w:t>
            </w:r>
            <w:r>
              <w:rPr>
                <w:rFonts w:hint="eastAsia" w:cs="Calibri"/>
                <w:kern w:val="0"/>
                <w:sz w:val="20"/>
                <w:szCs w:val="20"/>
                <w:lang w:bidi="ar"/>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tabs>
                <w:tab w:val="left" w:pos="202"/>
                <w:tab w:val="center" w:pos="346"/>
              </w:tabs>
              <w:spacing w:beforeLines="0" w:afterLines="0"/>
              <w:jc w:val="left"/>
              <w:rPr>
                <w:rFonts w:hint="default"/>
                <w:sz w:val="21"/>
                <w:szCs w:val="24"/>
              </w:rPr>
            </w:pPr>
            <w:r>
              <w:rPr>
                <w:rFonts w:hint="eastAsia" w:cs="Calibri"/>
                <w:kern w:val="0"/>
                <w:sz w:val="20"/>
                <w:szCs w:val="20"/>
                <w:lang w:bidi="ar"/>
              </w:rPr>
              <w:tab/>
            </w:r>
            <w:r>
              <w:rPr>
                <w:rFonts w:hint="eastAsia" w:cs="Calibri"/>
                <w:kern w:val="0"/>
                <w:sz w:val="20"/>
                <w:szCs w:val="20"/>
                <w:lang w:bidi="ar"/>
              </w:rPr>
              <w:t>0</w:t>
            </w:r>
            <w:r>
              <w:rPr>
                <w:rFonts w:hint="eastAsia" w:cs="Calibri"/>
                <w:kern w:val="0"/>
                <w:sz w:val="20"/>
                <w:szCs w:val="20"/>
                <w:lang w:bidi="ar"/>
              </w:rPr>
              <w:tab/>
            </w:r>
            <w:r>
              <w:rPr>
                <w:rFonts w:hint="default" w:cs="Calibri"/>
                <w:kern w:val="0"/>
                <w:sz w:val="20"/>
                <w:szCs w:val="20"/>
                <w:lang w:bidi="ar"/>
              </w:rPr>
              <w:t> </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eastAsia" w:cs="Calibri"/>
                <w:kern w:val="0"/>
                <w:sz w:val="20"/>
                <w:szCs w:val="20"/>
                <w:lang w:bidi="ar"/>
              </w:rPr>
              <w:t>0</w:t>
            </w:r>
            <w:r>
              <w:rPr>
                <w:rFonts w:hint="default" w:cs="Calibri"/>
                <w:kern w:val="0"/>
                <w:sz w:val="20"/>
                <w:szCs w:val="20"/>
                <w:lang w:bidi="ar"/>
              </w:rPr>
              <w:t> </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widowControl/>
              <w:spacing w:beforeLines="0" w:afterLines="0"/>
              <w:jc w:val="center"/>
              <w:rPr>
                <w:rFonts w:hint="default"/>
                <w:sz w:val="21"/>
                <w:szCs w:val="24"/>
              </w:rPr>
            </w:pPr>
            <w:r>
              <w:rPr>
                <w:rFonts w:hint="eastAsia" w:cs="Calibri"/>
                <w:kern w:val="0"/>
                <w:sz w:val="20"/>
                <w:szCs w:val="20"/>
                <w:lang w:bidi="ar"/>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（三）不予公开</w:t>
            </w: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1.属于国家秘密</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2.其他法律行政法规禁止公开</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3.危及“三安全一稳定”</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4.保护第三方合法权益</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5.属于三类内部事务信息</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6.属于四类过程性信息</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7.属于行政执法案卷</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8.属于行政查询事项</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（四）无法提供</w:t>
            </w: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1.本机关不掌握相关政府信息</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2.没有现成信息需要另行制作</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3.补正后申请内容仍不明确</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（五）不予处理</w:t>
            </w: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1.信访举报投诉类申请</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2.重复申请</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3.要求提供公开出版物</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top"/>
          </w:tcPr>
          <w:p>
            <w:pPr>
              <w:pStyle w:val="3"/>
              <w:widowControl/>
              <w:wordWrap w:val="0"/>
              <w:spacing w:beforeLines="0" w:afterLines="0"/>
              <w:rPr>
                <w:rFonts w:hint="default"/>
                <w:sz w:val="24"/>
                <w:szCs w:val="24"/>
              </w:rPr>
            </w:pPr>
            <w:r>
              <w:rPr>
                <w:rFonts w:hint="eastAsia" w:ascii="宋体" w:hAnsi="宋体" w:cs="宋体"/>
                <w:sz w:val="19"/>
                <w:szCs w:val="19"/>
              </w:rPr>
              <w:t>4.无正当理由大量反复申请</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trPr>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both"/>
              <w:rPr>
                <w:rFonts w:hint="default"/>
                <w:sz w:val="24"/>
                <w:szCs w:val="24"/>
              </w:rPr>
            </w:pPr>
            <w:r>
              <w:rPr>
                <w:rFonts w:hint="eastAsia" w:ascii="宋体" w:hAnsi="宋体" w:cs="宋体"/>
                <w:sz w:val="19"/>
                <w:szCs w:val="19"/>
              </w:rPr>
              <w:t>5.要求行政机关确认或重新出具已获取信息</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00" w:hRule="atLeast"/>
        </w:trPr>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（六）其他处理</w:t>
            </w: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both"/>
              <w:rPr>
                <w:rFonts w:hint="default"/>
                <w:sz w:val="24"/>
                <w:szCs w:val="24"/>
              </w:rPr>
            </w:pPr>
            <w:r>
              <w:rPr>
                <w:rFonts w:hint="eastAsia" w:ascii="宋体" w:hAnsi="宋体" w:cs="宋体"/>
                <w:sz w:val="19"/>
                <w:szCs w:val="19"/>
              </w:rPr>
              <w:t>1.申请人无正当理由逾期不补正、行政机关不再处理其政府信息公开申请</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55" w:hRule="atLeast"/>
        </w:trPr>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both"/>
              <w:rPr>
                <w:rFonts w:hint="default"/>
                <w:sz w:val="24"/>
                <w:szCs w:val="24"/>
              </w:rPr>
            </w:pPr>
            <w:r>
              <w:rPr>
                <w:rFonts w:hint="eastAsia" w:ascii="宋体" w:hAnsi="宋体" w:cs="宋体"/>
                <w:sz w:val="19"/>
                <w:szCs w:val="19"/>
              </w:rPr>
              <w:t>2.申请人逾期未按收费通知要求缴纳费用、行政机关不再处理其政府信息公开申请</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889"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2785"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3.其他</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trPr>
        <w:tc>
          <w:tcPr>
            <w:tcW w:w="706"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spacing w:beforeLines="0" w:afterLines="0"/>
              <w:rPr>
                <w:rFonts w:hint="default" w:ascii="sans-serif" w:hAnsi="sans-serif" w:eastAsia="sans-serif" w:cs="sans-serif"/>
                <w:sz w:val="24"/>
                <w:szCs w:val="24"/>
              </w:rPr>
            </w:pPr>
          </w:p>
        </w:tc>
        <w:tc>
          <w:tcPr>
            <w:tcW w:w="3674" w:type="dxa"/>
            <w:gridSpan w:val="2"/>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（七）总计</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eastAsia" w:eastAsia="宋体"/>
                <w:sz w:val="24"/>
                <w:szCs w:val="24"/>
                <w:lang w:eastAsia="zh-CN"/>
              </w:rPr>
            </w:pPr>
            <w:r>
              <w:rPr>
                <w:rFonts w:hint="eastAsia" w:ascii="宋体" w:hAnsi="宋体" w:cs="宋体"/>
                <w:sz w:val="21"/>
                <w:szCs w:val="21"/>
                <w:lang w:val="en-US" w:eastAsia="zh-CN"/>
              </w:rPr>
              <w:t>1</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eastAsia" w:eastAsia="宋体"/>
                <w:sz w:val="24"/>
                <w:szCs w:val="24"/>
                <w:lang w:eastAsia="zh-CN"/>
              </w:rPr>
            </w:pPr>
            <w:r>
              <w:rPr>
                <w:rFonts w:hint="eastAsia" w:ascii="宋体" w:hAnsi="宋体" w:cs="宋体"/>
                <w:sz w:val="21"/>
                <w:szCs w:val="21"/>
                <w:lang w:val="en-US" w:eastAsia="zh-CN"/>
              </w:rPr>
              <w:t>1</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eastAsia" w:eastAsia="宋体"/>
                <w:sz w:val="24"/>
                <w:szCs w:val="24"/>
                <w:lang w:val="en-US" w:eastAsia="zh-CN"/>
              </w:rPr>
            </w:pPr>
            <w:r>
              <w:rPr>
                <w:rFonts w:hint="eastAsia" w:ascii="宋体" w:hAnsi="宋体" w:cs="宋体"/>
                <w:sz w:val="21"/>
                <w:szCs w:val="21"/>
                <w:lang w:val="en-US" w:eastAsia="zh-CN"/>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4380" w:type="dxa"/>
            <w:gridSpan w:val="3"/>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Lines="0" w:afterLines="0"/>
              <w:rPr>
                <w:rFonts w:hint="default"/>
                <w:sz w:val="24"/>
                <w:szCs w:val="24"/>
              </w:rPr>
            </w:pPr>
            <w:r>
              <w:rPr>
                <w:rFonts w:hint="eastAsia" w:ascii="宋体" w:hAnsi="宋体" w:cs="宋体"/>
                <w:sz w:val="19"/>
                <w:szCs w:val="19"/>
              </w:rPr>
              <w:t>四、结转下年度继续办理</w:t>
            </w:r>
          </w:p>
        </w:tc>
        <w:tc>
          <w:tcPr>
            <w:tcW w:w="442"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19"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c>
          <w:tcPr>
            <w:tcW w:w="606" w:type="dxa"/>
            <w:tcBorders>
              <w:top w:val="single" w:color="auto" w:sz="6" w:space="0"/>
              <w:left w:val="single" w:color="auto" w:sz="6" w:space="0"/>
              <w:bottom w:val="single" w:color="auto" w:sz="6" w:space="0"/>
              <w:right w:val="single" w:color="auto" w:sz="6" w:space="0"/>
              <w:tl2br w:val="nil"/>
              <w:tr2bl w:val="nil"/>
            </w:tcBorders>
            <w:noWrap w:val="0"/>
            <w:tcMar>
              <w:top w:w="0" w:type="dxa"/>
              <w:left w:w="60" w:type="dxa"/>
              <w:bottom w:w="0" w:type="dxa"/>
              <w:right w:w="60"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21"/>
                <w:szCs w:val="21"/>
              </w:rPr>
              <w:t>0</w:t>
            </w:r>
          </w:p>
        </w:tc>
      </w:tr>
    </w:tbl>
    <w:p>
      <w:pPr>
        <w:pStyle w:val="3"/>
        <w:widowControl/>
        <w:spacing w:before="0" w:beforeLines="0" w:beforeAutospacing="0" w:after="0" w:afterLines="0" w:afterAutospacing="0" w:line="555" w:lineRule="atLeast"/>
        <w:ind w:firstLine="645"/>
        <w:jc w:val="both"/>
        <w:rPr>
          <w:rFonts w:hint="default"/>
          <w:sz w:val="24"/>
          <w:szCs w:val="24"/>
        </w:rPr>
      </w:pPr>
      <w:r>
        <w:rPr>
          <w:rFonts w:hint="eastAsia" w:ascii="黑体" w:hAnsi="宋体" w:eastAsia="黑体" w:cs="黑体"/>
          <w:sz w:val="31"/>
          <w:szCs w:val="31"/>
          <w:shd w:val="clear" w:color="auto" w:fill="FFFFFF"/>
        </w:rPr>
        <w:t>四、政府信息公开行政复议、行政诉讼情况</w:t>
      </w:r>
    </w:p>
    <w:tbl>
      <w:tblPr>
        <w:tblStyle w:val="4"/>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64"/>
        <w:gridCol w:w="564"/>
        <w:gridCol w:w="564"/>
        <w:gridCol w:w="564"/>
        <w:gridCol w:w="574"/>
        <w:gridCol w:w="564"/>
        <w:gridCol w:w="564"/>
        <w:gridCol w:w="564"/>
        <w:gridCol w:w="564"/>
        <w:gridCol w:w="585"/>
        <w:gridCol w:w="564"/>
        <w:gridCol w:w="565"/>
        <w:gridCol w:w="565"/>
        <w:gridCol w:w="565"/>
        <w:gridCol w:w="58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70" w:hRule="atLeast"/>
        </w:trPr>
        <w:tc>
          <w:tcPr>
            <w:tcW w:w="3240" w:type="dxa"/>
            <w:gridSpan w:val="5"/>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行政复议</w:t>
            </w:r>
          </w:p>
        </w:tc>
        <w:tc>
          <w:tcPr>
            <w:tcW w:w="6510" w:type="dxa"/>
            <w:gridSpan w:val="10"/>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45"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结果维持</w:t>
            </w:r>
          </w:p>
        </w:tc>
        <w:tc>
          <w:tcPr>
            <w:tcW w:w="645"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结果</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纠正</w:t>
            </w:r>
          </w:p>
        </w:tc>
        <w:tc>
          <w:tcPr>
            <w:tcW w:w="645"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其他</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结果</w:t>
            </w:r>
          </w:p>
        </w:tc>
        <w:tc>
          <w:tcPr>
            <w:tcW w:w="645"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尚未</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审结</w:t>
            </w:r>
          </w:p>
        </w:tc>
        <w:tc>
          <w:tcPr>
            <w:tcW w:w="645" w:type="dxa"/>
            <w:vMerge w:val="restart"/>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总计</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未经复议直接起诉</w:t>
            </w:r>
          </w:p>
        </w:tc>
        <w:tc>
          <w:tcPr>
            <w:tcW w:w="3255" w:type="dxa"/>
            <w:gridSpan w:val="5"/>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45"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spacing w:beforeLines="0" w:afterLines="0"/>
              <w:rPr>
                <w:rFonts w:hint="default" w:ascii="sans-serif" w:hAnsi="sans-serif" w:eastAsia="sans-serif" w:cs="sans-serif"/>
                <w:sz w:val="24"/>
                <w:szCs w:val="24"/>
              </w:rPr>
            </w:pPr>
          </w:p>
        </w:tc>
        <w:tc>
          <w:tcPr>
            <w:tcW w:w="645"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spacing w:beforeLines="0" w:afterLines="0"/>
              <w:rPr>
                <w:rFonts w:hint="default" w:ascii="sans-serif" w:hAnsi="sans-serif" w:eastAsia="sans-serif" w:cs="sans-serif"/>
                <w:sz w:val="24"/>
                <w:szCs w:val="24"/>
              </w:rPr>
            </w:pPr>
          </w:p>
        </w:tc>
        <w:tc>
          <w:tcPr>
            <w:tcW w:w="645"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spacing w:beforeLines="0" w:afterLines="0"/>
              <w:rPr>
                <w:rFonts w:hint="default" w:ascii="sans-serif" w:hAnsi="sans-serif" w:eastAsia="sans-serif" w:cs="sans-serif"/>
                <w:sz w:val="24"/>
                <w:szCs w:val="24"/>
              </w:rPr>
            </w:pPr>
          </w:p>
        </w:tc>
        <w:tc>
          <w:tcPr>
            <w:tcW w:w="645"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spacing w:beforeLines="0" w:afterLines="0"/>
              <w:rPr>
                <w:rFonts w:hint="default" w:ascii="sans-serif" w:hAnsi="sans-serif" w:eastAsia="sans-serif" w:cs="sans-serif"/>
                <w:sz w:val="24"/>
                <w:szCs w:val="24"/>
              </w:rPr>
            </w:pPr>
          </w:p>
        </w:tc>
        <w:tc>
          <w:tcPr>
            <w:tcW w:w="645" w:type="dxa"/>
            <w:vMerge w:val="continue"/>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spacing w:beforeLines="0" w:afterLines="0"/>
              <w:rPr>
                <w:rFonts w:hint="default" w:ascii="sans-serif" w:hAnsi="sans-serif" w:eastAsia="sans-serif" w:cs="sans-serif"/>
                <w:sz w:val="24"/>
                <w:szCs w:val="24"/>
              </w:rPr>
            </w:pP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结果</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维持</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结果</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纠正</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其他</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结果</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尚未</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审结</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总计</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结果</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维持</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结果</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纠正</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其他</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结果</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19"/>
                <w:szCs w:val="19"/>
                <w:lang w:eastAsia="zh-CN"/>
              </w:rPr>
            </w:pPr>
            <w:r>
              <w:rPr>
                <w:rFonts w:hint="eastAsia" w:ascii="宋体" w:hAnsi="宋体" w:cs="宋体"/>
                <w:sz w:val="19"/>
                <w:szCs w:val="19"/>
              </w:rPr>
              <w:t>尚未</w:t>
            </w:r>
          </w:p>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审结</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default"/>
                <w:sz w:val="24"/>
                <w:szCs w:val="24"/>
              </w:rPr>
            </w:pPr>
            <w:r>
              <w:rPr>
                <w:rFonts w:hint="eastAsia" w:ascii="宋体" w:hAnsi="宋体" w:cs="宋体"/>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75" w:hRule="atLeast"/>
        </w:trPr>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cs="宋体"/>
                <w:sz w:val="21"/>
                <w:szCs w:val="21"/>
              </w:rPr>
            </w:pPr>
            <w:r>
              <w:rPr>
                <w:rFonts w:hint="eastAsia" w:ascii="宋体" w:hAnsi="宋体" w:cs="宋体"/>
                <w:sz w:val="21"/>
                <w:szCs w:val="21"/>
              </w:rPr>
              <w:t>0 </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cs="宋体"/>
                <w:sz w:val="21"/>
                <w:szCs w:val="21"/>
              </w:rPr>
            </w:pPr>
            <w:r>
              <w:rPr>
                <w:rFonts w:hint="eastAsia" w:ascii="宋体" w:hAnsi="宋体" w:cs="宋体"/>
                <w:sz w:val="21"/>
                <w:szCs w:val="21"/>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cs="宋体"/>
                <w:sz w:val="21"/>
                <w:szCs w:val="21"/>
              </w:rPr>
            </w:pPr>
            <w:r>
              <w:rPr>
                <w:rFonts w:hint="eastAsia" w:ascii="宋体" w:hAnsi="宋体" w:cs="宋体"/>
                <w:sz w:val="21"/>
                <w:szCs w:val="21"/>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cs="宋体"/>
                <w:sz w:val="21"/>
                <w:szCs w:val="21"/>
              </w:rPr>
            </w:pPr>
            <w:r>
              <w:rPr>
                <w:rFonts w:hint="eastAsia" w:ascii="宋体" w:hAnsi="宋体" w:cs="宋体"/>
                <w:sz w:val="21"/>
                <w:szCs w:val="21"/>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cs="宋体"/>
                <w:sz w:val="21"/>
                <w:szCs w:val="21"/>
              </w:rPr>
            </w:pPr>
            <w:r>
              <w:rPr>
                <w:rFonts w:hint="eastAsia" w:ascii="宋体" w:hAnsi="宋体" w:cs="宋体"/>
                <w:sz w:val="21"/>
                <w:szCs w:val="21"/>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cs="宋体"/>
                <w:sz w:val="21"/>
                <w:szCs w:val="21"/>
              </w:rPr>
            </w:pPr>
            <w:r>
              <w:rPr>
                <w:rFonts w:hint="eastAsia" w:ascii="宋体" w:hAnsi="宋体" w:cs="宋体"/>
                <w:sz w:val="21"/>
                <w:szCs w:val="21"/>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cs="宋体"/>
                <w:sz w:val="21"/>
                <w:szCs w:val="21"/>
              </w:rPr>
            </w:pPr>
            <w:r>
              <w:rPr>
                <w:rFonts w:hint="eastAsia" w:ascii="宋体" w:hAnsi="宋体" w:cs="宋体"/>
                <w:sz w:val="21"/>
                <w:szCs w:val="21"/>
              </w:rPr>
              <w:t>0</w:t>
            </w:r>
          </w:p>
        </w:tc>
        <w:tc>
          <w:tcPr>
            <w:tcW w:w="645" w:type="dxa"/>
            <w:tcBorders>
              <w:top w:val="single" w:color="auto" w:sz="6" w:space="0"/>
              <w:left w:val="single" w:color="auto" w:sz="6" w:space="0"/>
              <w:bottom w:val="single" w:color="auto" w:sz="6" w:space="0"/>
              <w:right w:val="single" w:color="auto" w:sz="6" w:space="0"/>
              <w:tl2br w:val="nil"/>
              <w:tr2bl w:val="nil"/>
            </w:tcBorders>
            <w:noWrap w:val="0"/>
            <w:tcMar>
              <w:top w:w="0" w:type="dxa"/>
              <w:left w:w="105" w:type="dxa"/>
              <w:bottom w:w="0" w:type="dxa"/>
              <w:right w:w="105" w:type="dxa"/>
            </w:tcMar>
            <w:vAlign w:val="center"/>
          </w:tcPr>
          <w:p>
            <w:pPr>
              <w:pStyle w:val="3"/>
              <w:widowControl/>
              <w:wordWrap w:val="0"/>
              <w:spacing w:before="0" w:beforeLines="0" w:beforeAutospacing="0" w:after="0" w:afterLines="0" w:afterAutospacing="0"/>
              <w:jc w:val="center"/>
              <w:rPr>
                <w:rFonts w:hint="eastAsia" w:ascii="宋体" w:hAnsi="宋体" w:eastAsia="宋体" w:cs="宋体"/>
                <w:sz w:val="21"/>
                <w:szCs w:val="21"/>
                <w:lang w:eastAsia="zh-CN"/>
              </w:rPr>
            </w:pPr>
            <w:r>
              <w:rPr>
                <w:rFonts w:hint="eastAsia" w:ascii="宋体" w:hAnsi="宋体" w:cs="宋体"/>
                <w:sz w:val="21"/>
                <w:szCs w:val="21"/>
                <w:lang w:val="en-US" w:eastAsia="zh-CN"/>
              </w:rPr>
              <w:t>0</w:t>
            </w:r>
          </w:p>
        </w:tc>
      </w:tr>
    </w:tbl>
    <w:p>
      <w:pPr>
        <w:pStyle w:val="3"/>
        <w:widowControl/>
        <w:spacing w:before="0" w:beforeLines="0" w:beforeAutospacing="0" w:after="0" w:afterLines="0" w:afterAutospacing="0" w:line="600" w:lineRule="exact"/>
        <w:ind w:firstLine="645"/>
        <w:jc w:val="both"/>
        <w:rPr>
          <w:rFonts w:hint="default"/>
          <w:sz w:val="24"/>
          <w:szCs w:val="24"/>
        </w:rPr>
      </w:pPr>
      <w:r>
        <w:rPr>
          <w:rFonts w:hint="eastAsia" w:ascii="黑体" w:hAnsi="宋体" w:eastAsia="黑体" w:cs="黑体"/>
          <w:sz w:val="31"/>
          <w:szCs w:val="31"/>
          <w:shd w:val="clear" w:color="auto" w:fill="FFFFFF"/>
        </w:rPr>
        <w:t>五、存在的主要问题及改进情况</w:t>
      </w:r>
    </w:p>
    <w:p>
      <w:pPr>
        <w:pStyle w:val="3"/>
        <w:widowControl/>
        <w:spacing w:beforeLines="0" w:beforeAutospacing="0" w:afterLines="0" w:afterAutospacing="0" w:line="600" w:lineRule="exact"/>
        <w:ind w:firstLine="645"/>
        <w:rPr>
          <w:rFonts w:hint="default"/>
          <w:sz w:val="24"/>
          <w:szCs w:val="24"/>
        </w:rPr>
      </w:pPr>
      <w:r>
        <w:rPr>
          <w:rStyle w:val="6"/>
          <w:rFonts w:hint="eastAsia" w:ascii="楷体_GB2312" w:hAnsi="Times New Roman" w:eastAsia="楷体_GB2312" w:cs="楷体_GB2312"/>
          <w:sz w:val="31"/>
          <w:szCs w:val="31"/>
        </w:rPr>
        <w:t>（一）存在问题</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2022年，侯马市政务公开工作虽然取得了一定成绩，但还存在一些不足，主要表现为：</w:t>
      </w:r>
      <w:r>
        <w:rPr>
          <w:rFonts w:hint="eastAsia" w:ascii="仿宋_GB2312" w:hAnsi="仿宋_GB2312" w:eastAsia="仿宋_GB2312" w:cs="仿宋_GB2312"/>
          <w:sz w:val="32"/>
          <w:szCs w:val="32"/>
        </w:rPr>
        <w:t>政府信息公开工作的长效机制还不够完善；政府信息公开的广度和深度还不够，覆盖面还不够全。</w:t>
      </w:r>
    </w:p>
    <w:p>
      <w:pPr>
        <w:pStyle w:val="3"/>
        <w:widowControl/>
        <w:spacing w:beforeLines="0" w:beforeAutospacing="0" w:afterLines="0" w:afterAutospacing="0" w:line="600" w:lineRule="exact"/>
        <w:ind w:firstLine="645"/>
        <w:jc w:val="both"/>
        <w:rPr>
          <w:rFonts w:hint="default"/>
          <w:sz w:val="24"/>
          <w:szCs w:val="24"/>
        </w:rPr>
      </w:pPr>
      <w:r>
        <w:rPr>
          <w:rStyle w:val="6"/>
          <w:rFonts w:hint="eastAsia" w:ascii="楷体_GB2312" w:hAnsi="Times New Roman" w:eastAsia="楷体_GB2312" w:cs="楷体_GB2312"/>
          <w:sz w:val="31"/>
          <w:szCs w:val="31"/>
        </w:rPr>
        <w:t>（二）改进措施</w:t>
      </w:r>
    </w:p>
    <w:p>
      <w:pPr>
        <w:pStyle w:val="3"/>
        <w:widowControl/>
        <w:spacing w:before="0" w:beforeLines="0" w:beforeAutospacing="0" w:after="0" w:afterLines="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2023年，侯马市将严格按照国家、省、市关于政府信息公开工作要求，进一步健全信息公开机制，优化信息公开服务，不断提升政务信息公开工作服务水平。一是严格实行“谁起草、谁解读”原则，对涉及群众切身利益、社会关注度高的非涉密重要政策文件，督促责任单位采用多样化方式进行深度解读，力求让群众对政策看得透、悟得准。二是强化政务公开平台建设，加强对政府门户网站和政务新媒体的监管，严格信息发布，畅通公众信息在线查询渠道，提升政府网上履职能力和服务水平。三是进一步提高工作能力，通过组织与参加业务培训等方式，进一步强化对政府信息公开工作重要性的认识，提升相关人员专业能力水平。四是推进政务公开向多方领域延伸，加大对教育、医疗、社会保障、乡村振兴、促进就业等方面的信息公开，不断丰富政府信息公开的内容和形式。</w:t>
      </w:r>
    </w:p>
    <w:p>
      <w:pPr>
        <w:pStyle w:val="3"/>
        <w:widowControl/>
        <w:spacing w:before="0" w:beforeLines="0" w:beforeAutospacing="0" w:after="0" w:afterLines="0" w:afterAutospacing="0" w:line="600" w:lineRule="exact"/>
        <w:ind w:firstLine="645"/>
        <w:jc w:val="both"/>
        <w:rPr>
          <w:rFonts w:hint="default"/>
          <w:sz w:val="24"/>
          <w:szCs w:val="24"/>
        </w:rPr>
      </w:pPr>
      <w:r>
        <w:rPr>
          <w:rFonts w:hint="eastAsia" w:ascii="黑体" w:hAnsi="宋体" w:eastAsia="黑体" w:cs="黑体"/>
          <w:sz w:val="31"/>
          <w:szCs w:val="31"/>
          <w:shd w:val="clear" w:color="auto" w:fill="FFFFFF"/>
        </w:rPr>
        <w:t>六、其他需要报告的事项</w:t>
      </w:r>
    </w:p>
    <w:p>
      <w:pPr>
        <w:pStyle w:val="3"/>
        <w:widowControl/>
        <w:spacing w:beforeLines="0" w:beforeAutospacing="0" w:afterLines="0" w:afterAutospacing="0" w:line="600" w:lineRule="exact"/>
        <w:ind w:firstLine="640" w:firstLineChars="200"/>
        <w:jc w:val="both"/>
        <w:rPr>
          <w:rFonts w:hint="default"/>
          <w:sz w:val="24"/>
          <w:szCs w:val="24"/>
        </w:rPr>
      </w:pPr>
      <w:r>
        <w:rPr>
          <w:rFonts w:hint="eastAsia" w:ascii="仿宋_GB2312" w:hAnsi="仿宋_GB2312" w:eastAsia="仿宋_GB2312" w:cs="仿宋_GB2312"/>
          <w:sz w:val="32"/>
          <w:szCs w:val="32"/>
          <w:shd w:val="clear" w:color="auto" w:fill="FFFFFF"/>
          <w:lang w:val="en-US" w:eastAsia="zh-CN"/>
        </w:rPr>
        <w:t>本</w:t>
      </w:r>
      <w:bookmarkStart w:id="0" w:name="_GoBack"/>
      <w:bookmarkEnd w:id="0"/>
      <w:r>
        <w:rPr>
          <w:rFonts w:hint="eastAsia" w:ascii="仿宋_GB2312" w:hAnsi="仿宋_GB2312" w:eastAsia="仿宋_GB2312" w:cs="仿宋_GB2312"/>
          <w:sz w:val="32"/>
          <w:szCs w:val="32"/>
          <w:shd w:val="clear" w:color="auto" w:fill="FFFFFF"/>
        </w:rPr>
        <w:t>年度未收取政府信息公开信息处理费。    </w:t>
      </w:r>
      <w:r>
        <w:rPr>
          <w:rFonts w:hint="eastAsia" w:ascii="仿宋" w:hAnsi="仿宋" w:eastAsia="仿宋" w:cs="仿宋"/>
          <w:sz w:val="31"/>
          <w:szCs w:val="31"/>
        </w:rPr>
        <w:t>   </w:t>
      </w:r>
    </w:p>
    <w:p>
      <w:pPr>
        <w:pStyle w:val="3"/>
        <w:widowControl/>
        <w:spacing w:beforeLines="0" w:beforeAutospacing="0" w:afterLines="0" w:afterAutospacing="0" w:line="600" w:lineRule="exact"/>
        <w:ind w:firstLine="645"/>
        <w:jc w:val="center"/>
        <w:rPr>
          <w:rFonts w:hint="default"/>
          <w:sz w:val="24"/>
          <w:szCs w:val="24"/>
        </w:rPr>
      </w:pPr>
      <w:r>
        <w:rPr>
          <w:rFonts w:hint="eastAsia" w:ascii="仿宋_GB2312" w:eastAsia="仿宋_GB2312" w:cs="仿宋_GB2312"/>
          <w:sz w:val="31"/>
          <w:szCs w:val="31"/>
        </w:rPr>
        <w:t> </w:t>
      </w:r>
    </w:p>
    <w:p>
      <w:pPr>
        <w:pStyle w:val="3"/>
        <w:widowControl/>
        <w:wordWrap w:val="0"/>
        <w:spacing w:before="0" w:beforeLines="0" w:beforeAutospacing="0" w:after="0" w:afterLines="0" w:afterAutospacing="0" w:line="600" w:lineRule="exact"/>
        <w:ind w:firstLine="5115"/>
        <w:jc w:val="right"/>
        <w:rPr>
          <w:rFonts w:hint="eastAsia" w:eastAsia="仿宋_GB2312"/>
          <w:sz w:val="24"/>
          <w:szCs w:val="24"/>
          <w:lang w:val="en-US" w:eastAsia="zh-CN"/>
        </w:rPr>
      </w:pPr>
      <w:r>
        <w:rPr>
          <w:rFonts w:hint="eastAsia" w:ascii="仿宋_GB2312" w:eastAsia="仿宋_GB2312" w:cs="仿宋_GB2312"/>
          <w:sz w:val="31"/>
          <w:szCs w:val="31"/>
        </w:rPr>
        <w:t>                    侯马市人民政府   </w:t>
      </w:r>
      <w:r>
        <w:rPr>
          <w:rFonts w:hint="eastAsia" w:ascii="仿宋_GB2312" w:eastAsia="仿宋_GB2312" w:cs="仿宋_GB2312"/>
          <w:sz w:val="31"/>
          <w:szCs w:val="31"/>
          <w:lang w:val="en-US" w:eastAsia="zh-CN"/>
        </w:rPr>
        <w:t xml:space="preserve"> </w:t>
      </w:r>
    </w:p>
    <w:p>
      <w:pPr>
        <w:pStyle w:val="3"/>
        <w:widowControl/>
        <w:spacing w:before="0" w:beforeLines="0" w:beforeAutospacing="0" w:after="0" w:afterLines="0" w:afterAutospacing="0" w:line="600" w:lineRule="exact"/>
        <w:jc w:val="right"/>
        <w:rPr>
          <w:rFonts w:hint="default"/>
          <w:sz w:val="24"/>
          <w:szCs w:val="24"/>
        </w:rPr>
      </w:pPr>
      <w:r>
        <w:rPr>
          <w:rFonts w:hint="eastAsia" w:ascii="仿宋_GB2312" w:eastAsia="仿宋_GB2312" w:cs="仿宋_GB2312"/>
          <w:sz w:val="31"/>
          <w:szCs w:val="31"/>
        </w:rPr>
        <w:t xml:space="preserve">                              </w:t>
      </w:r>
      <w:r>
        <w:rPr>
          <w:rFonts w:hint="eastAsia" w:ascii="仿宋_GB2312" w:eastAsia="仿宋_GB2312" w:cs="仿宋_GB2312"/>
          <w:sz w:val="31"/>
          <w:szCs w:val="31"/>
          <w:lang w:val="en-US" w:eastAsia="zh-CN"/>
        </w:rPr>
        <w:t xml:space="preserve"> </w:t>
      </w:r>
      <w:r>
        <w:rPr>
          <w:rFonts w:hint="eastAsia" w:ascii="仿宋_GB2312" w:eastAsia="仿宋_GB2312" w:cs="仿宋_GB2312"/>
          <w:sz w:val="31"/>
          <w:szCs w:val="31"/>
        </w:rPr>
        <w:t xml:space="preserve"> 2023年1月30日 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0040101010101"/>
    <w:charset w:val="86"/>
    <w:family w:val="auto"/>
    <w:pitch w:val="default"/>
    <w:sig w:usb0="00000287" w:usb1="080F0000" w:usb2="00000000" w:usb3="00000000" w:csb0="0004009F" w:csb1="DFD70000"/>
  </w:font>
  <w:font w:name="楷体_GB2312">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YzMwZWY0MTRlYTgyY2I0NTBhOTUxOWQwNjlmMTYifQ=="/>
  </w:docVars>
  <w:rsids>
    <w:rsidRoot w:val="00000000"/>
    <w:rsid w:val="02045E04"/>
    <w:rsid w:val="03072759"/>
    <w:rsid w:val="045C42D3"/>
    <w:rsid w:val="053A4879"/>
    <w:rsid w:val="09420839"/>
    <w:rsid w:val="09E7368A"/>
    <w:rsid w:val="0A636CB9"/>
    <w:rsid w:val="0CE306BF"/>
    <w:rsid w:val="0EAB0B3E"/>
    <w:rsid w:val="0EFE5BC0"/>
    <w:rsid w:val="10953945"/>
    <w:rsid w:val="109829FD"/>
    <w:rsid w:val="11AE1EF8"/>
    <w:rsid w:val="12F76C3B"/>
    <w:rsid w:val="13731442"/>
    <w:rsid w:val="16753278"/>
    <w:rsid w:val="16F4421D"/>
    <w:rsid w:val="1EE415D5"/>
    <w:rsid w:val="21E87D78"/>
    <w:rsid w:val="22CD049B"/>
    <w:rsid w:val="22D02936"/>
    <w:rsid w:val="23A300BF"/>
    <w:rsid w:val="252055C5"/>
    <w:rsid w:val="25DD4646"/>
    <w:rsid w:val="2630688E"/>
    <w:rsid w:val="26E2015A"/>
    <w:rsid w:val="2A8568E5"/>
    <w:rsid w:val="2BB76496"/>
    <w:rsid w:val="2BFA1EAF"/>
    <w:rsid w:val="2C6F2A9B"/>
    <w:rsid w:val="2DAE72D7"/>
    <w:rsid w:val="2E1143EE"/>
    <w:rsid w:val="2EA5532F"/>
    <w:rsid w:val="2F005CC6"/>
    <w:rsid w:val="32472EE9"/>
    <w:rsid w:val="36592B9B"/>
    <w:rsid w:val="379345C8"/>
    <w:rsid w:val="38FE7CA0"/>
    <w:rsid w:val="3B4F27BE"/>
    <w:rsid w:val="3C2B6D87"/>
    <w:rsid w:val="3DC226CC"/>
    <w:rsid w:val="3F5A260A"/>
    <w:rsid w:val="4156243A"/>
    <w:rsid w:val="422D2DDF"/>
    <w:rsid w:val="4251004E"/>
    <w:rsid w:val="427734D0"/>
    <w:rsid w:val="434E2638"/>
    <w:rsid w:val="4551397C"/>
    <w:rsid w:val="46E62229"/>
    <w:rsid w:val="47503B46"/>
    <w:rsid w:val="49885819"/>
    <w:rsid w:val="4D5E4218"/>
    <w:rsid w:val="4E0C37ED"/>
    <w:rsid w:val="50A32C89"/>
    <w:rsid w:val="51631A61"/>
    <w:rsid w:val="51811D87"/>
    <w:rsid w:val="53D578AD"/>
    <w:rsid w:val="55DF7449"/>
    <w:rsid w:val="562E3764"/>
    <w:rsid w:val="591B48E3"/>
    <w:rsid w:val="5CBE0F3F"/>
    <w:rsid w:val="5CBE2215"/>
    <w:rsid w:val="5E3119E0"/>
    <w:rsid w:val="676D16B1"/>
    <w:rsid w:val="68BA19D6"/>
    <w:rsid w:val="6C615D2A"/>
    <w:rsid w:val="724B6C5D"/>
    <w:rsid w:val="747C2002"/>
    <w:rsid w:val="79B973D9"/>
    <w:rsid w:val="7A333E9D"/>
    <w:rsid w:val="7CB27599"/>
    <w:rsid w:val="7D07647A"/>
    <w:rsid w:val="7DDE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unhideWhenUsed/>
    <w:qFormat/>
    <w:uiPriority w:val="9"/>
    <w:pPr>
      <w:widowControl/>
      <w:spacing w:before="100" w:beforeAutospacing="1" w:after="100" w:afterAutospacing="1"/>
      <w:jc w:val="left"/>
      <w:outlineLvl w:val="0"/>
    </w:pPr>
    <w:rPr>
      <w:rFonts w:hint="eastAsia" w:ascii="宋体" w:hAnsi="宋体" w:cs="宋体"/>
      <w:b/>
      <w:kern w:val="36"/>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uiPriority w:val="0"/>
    <w:pPr>
      <w:spacing w:before="100" w:beforeAutospacing="1" w:after="100" w:afterAutospacing="1" w:line="315" w:lineRule="atLeast"/>
      <w:jc w:val="left"/>
    </w:pPr>
    <w:rPr>
      <w:rFonts w:hint="default"/>
      <w:kern w:val="0"/>
      <w:sz w:val="24"/>
      <w:szCs w:val="24"/>
      <w:lang w:bidi="ar"/>
    </w:rPr>
  </w:style>
  <w:style w:type="character" w:styleId="6">
    <w:name w:val="Strong"/>
    <w:basedOn w:val="5"/>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2712</Words>
  <Characters>2816</Characters>
  <Lines>0</Lines>
  <Paragraphs>0</Paragraphs>
  <TotalTime>2</TotalTime>
  <ScaleCrop>false</ScaleCrop>
  <LinksUpToDate>false</LinksUpToDate>
  <CharactersWithSpaces>2857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2021-09-29T02:41:00Z</dcterms:created>
  <dc:creator>zhferu</dc:creator>
  <cp:lastModifiedBy>zhferu</cp:lastModifiedBy>
  <dcterms:modified xsi:type="dcterms:W3CDTF">2024-01-19T01:55:56Z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6F434F45EA344ED99BC570ED0FC1C5FF</vt:lpwstr>
  </property>
</Properties>
</file>