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5FA22">
      <w:pPr>
        <w:pStyle w:val="8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</w:p>
    <w:p w14:paraId="4AA9883B">
      <w:pPr>
        <w:pStyle w:val="8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</w:p>
    <w:p w14:paraId="09C57F8C">
      <w:pPr>
        <w:pStyle w:val="8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</w:p>
    <w:p w14:paraId="3D294957">
      <w:pPr>
        <w:pStyle w:val="8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  <w:t>侯马市公安局</w:t>
      </w:r>
    </w:p>
    <w:p w14:paraId="35F0E232">
      <w:pPr>
        <w:pStyle w:val="8"/>
        <w:widowControl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宋体" w:eastAsia="方正小标宋简体"/>
          <w:color w:val="333333"/>
          <w:sz w:val="44"/>
          <w:szCs w:val="44"/>
          <w:shd w:val="clear" w:color="auto" w:fill="FFFFFF"/>
        </w:rPr>
        <w:t>年政府信息公开工作报告</w:t>
      </w:r>
    </w:p>
    <w:p w14:paraId="37EFCB59">
      <w:pPr>
        <w:pStyle w:val="8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宋体" w:hAnsi="宋体"/>
          <w:b/>
          <w:color w:val="333333"/>
          <w:sz w:val="32"/>
          <w:szCs w:val="32"/>
          <w:shd w:val="clear" w:color="auto" w:fill="FFFFFF"/>
        </w:rPr>
      </w:pPr>
    </w:p>
    <w:p w14:paraId="680D87E6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一、总体情况</w:t>
      </w:r>
    </w:p>
    <w:p w14:paraId="4FE82E1A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年，我局严格按照《中华人民共和国政府信息公开条例》规定，结合部门工作实际，切实加强政策解读，积极回应社会关切，规范开展政府信息公开工作，保障人民群众的知情权。</w:t>
      </w:r>
    </w:p>
    <w:p w14:paraId="30E44719">
      <w:pPr>
        <w:pStyle w:val="8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二、主动公开政府信息情况</w:t>
      </w:r>
    </w:p>
    <w:p w14:paraId="2E5D35D0">
      <w:pPr>
        <w:pStyle w:val="8"/>
        <w:widowControl/>
        <w:shd w:val="clear" w:color="auto" w:fill="FFFFFF"/>
        <w:spacing w:before="0" w:beforeAutospacing="0" w:after="0" w:afterAutospacing="0" w:line="540" w:lineRule="exact"/>
        <w:ind w:firstLine="420"/>
        <w:jc w:val="both"/>
        <w:rPr>
          <w:rFonts w:ascii="黑体" w:hAnsi="黑体" w:eastAsia="黑体"/>
          <w:color w:val="333333"/>
          <w:sz w:val="32"/>
          <w:szCs w:val="32"/>
        </w:rPr>
      </w:pPr>
    </w:p>
    <w:tbl>
      <w:tblPr>
        <w:tblStyle w:val="2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3160"/>
        <w:gridCol w:w="2435"/>
        <w:gridCol w:w="2435"/>
      </w:tblGrid>
      <w:tr w14:paraId="2E830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AACC7B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第二十条第（一）项</w:t>
            </w:r>
          </w:p>
        </w:tc>
      </w:tr>
      <w:tr w14:paraId="60A06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D25ECE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3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E8CE41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本年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制发件数</w:t>
            </w:r>
          </w:p>
        </w:tc>
        <w:tc>
          <w:tcPr>
            <w:tcW w:w="2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0E364D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D428A6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现行有效件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数</w:t>
            </w:r>
          </w:p>
        </w:tc>
      </w:tr>
      <w:tr w14:paraId="2C8925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72A7924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规章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13937D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445D0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AA3E124">
            <w:pPr>
              <w:widowControl/>
              <w:jc w:val="center"/>
              <w:rPr>
                <w:kern w:val="0"/>
                <w:szCs w:val="21"/>
                <w:lang w:bidi="ar"/>
              </w:rPr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 w14:paraId="690B2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3217D1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3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13ED13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4BF96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6ADDA4">
            <w:pPr>
              <w:widowControl/>
              <w:jc w:val="center"/>
              <w:rPr>
                <w:rFonts w:hint="eastAsia"/>
                <w:kern w:val="0"/>
                <w:szCs w:val="21"/>
                <w:lang w:bidi="ar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0</w:t>
            </w:r>
          </w:p>
        </w:tc>
      </w:tr>
      <w:tr w14:paraId="58CE9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B1116A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第二十条第（五）项</w:t>
            </w:r>
          </w:p>
        </w:tc>
      </w:tr>
      <w:tr w14:paraId="09561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4BE1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6CDBC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 w14:paraId="26723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9DBC802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94E8A0"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 w:bidi="ar"/>
              </w:rPr>
            </w:pPr>
            <w:r>
              <w:rPr>
                <w:kern w:val="0"/>
                <w:szCs w:val="21"/>
                <w:lang w:bidi="ar"/>
              </w:rPr>
              <w:t> </w:t>
            </w:r>
            <w:r>
              <w:rPr>
                <w:rFonts w:hint="eastAsia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210D7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26057D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第二十条第（六）项</w:t>
            </w:r>
          </w:p>
        </w:tc>
      </w:tr>
      <w:tr w14:paraId="4DE0C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A77DAB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80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8C55E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本年处理决定数量</w:t>
            </w:r>
          </w:p>
        </w:tc>
      </w:tr>
      <w:tr w14:paraId="757085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0667962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EB13A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　4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67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（非交警业务类）、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26450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（交警现场处罚类）、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23493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（交警非现场处罚类）</w:t>
            </w:r>
          </w:p>
        </w:tc>
      </w:tr>
      <w:tr w14:paraId="2D92A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8DF4B90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C78490A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24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（禁毒业务类）、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val="en-US" w:eastAsia="zh-CN" w:bidi="ar"/>
              </w:rPr>
              <w:t>2158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（交警业务类）</w:t>
            </w:r>
          </w:p>
        </w:tc>
      </w:tr>
      <w:tr w14:paraId="35FDD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23F0CC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第二十条第（八）项</w:t>
            </w:r>
          </w:p>
        </w:tc>
      </w:tr>
      <w:tr w14:paraId="3938D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0A1F58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4BB0D0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57A73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7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5867C3"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803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08CA4E6"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37.8580</w:t>
            </w:r>
            <w:r>
              <w:rPr>
                <w:rFonts w:hint="eastAsia" w:ascii="宋体"/>
                <w:sz w:val="24"/>
              </w:rPr>
              <w:t>（身份证业务收费）、</w:t>
            </w:r>
            <w:r>
              <w:rPr>
                <w:rFonts w:hint="eastAsia" w:ascii="宋体"/>
                <w:sz w:val="24"/>
                <w:lang w:val="en-US" w:eastAsia="zh-CN"/>
              </w:rPr>
              <w:t>103.2205</w:t>
            </w:r>
            <w:r>
              <w:rPr>
                <w:rFonts w:hint="eastAsia" w:ascii="宋体"/>
                <w:sz w:val="24"/>
              </w:rPr>
              <w:t>（车管业务收费）</w:t>
            </w:r>
          </w:p>
        </w:tc>
      </w:tr>
    </w:tbl>
    <w:p w14:paraId="33AED0FC">
      <w:pPr>
        <w:widowControl/>
        <w:jc w:val="left"/>
        <w:rPr>
          <w:rFonts w:hint="eastAsia"/>
        </w:rPr>
      </w:pPr>
    </w:p>
    <w:p w14:paraId="79320A5B">
      <w:pPr>
        <w:widowControl/>
        <w:jc w:val="left"/>
        <w:rPr>
          <w:rFonts w:hint="eastAsia"/>
        </w:rPr>
      </w:pPr>
    </w:p>
    <w:p w14:paraId="63FDB0C9">
      <w:pPr>
        <w:widowControl/>
        <w:jc w:val="left"/>
      </w:pPr>
    </w:p>
    <w:p w14:paraId="1B04123B">
      <w:pPr>
        <w:pStyle w:val="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</w:p>
    <w:p w14:paraId="2685CBF1">
      <w:pPr>
        <w:pStyle w:val="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2"/>
        <w:tblW w:w="9748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thickThinLargeGap" w:color="000000" w:sz="6" w:space="0"/>
          <w:insideV w:val="thickThinLargeGap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6"/>
        <w:gridCol w:w="688"/>
        <w:gridCol w:w="688"/>
        <w:gridCol w:w="688"/>
        <w:gridCol w:w="688"/>
        <w:gridCol w:w="688"/>
        <w:gridCol w:w="688"/>
        <w:gridCol w:w="695"/>
      </w:tblGrid>
      <w:tr w14:paraId="72E6228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15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EB8EAD">
            <w:pPr>
              <w:widowControl/>
              <w:jc w:val="left"/>
              <w:rPr>
                <w:rFonts w:ascii="楷体" w:hAnsi="楷体" w:eastAsia="楷体"/>
                <w:kern w:val="0"/>
                <w:sz w:val="20"/>
                <w:lang w:bidi="ar"/>
              </w:rPr>
            </w:pPr>
            <w:r>
              <w:rPr>
                <w:rFonts w:ascii="楷体" w:hAnsi="楷体" w:eastAsia="楷体"/>
                <w:kern w:val="0"/>
                <w:sz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18F355E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申请人情况</w:t>
            </w:r>
          </w:p>
        </w:tc>
      </w:tr>
      <w:tr w14:paraId="10BC112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3FCCEF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6BBAE82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AA8BD30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106244E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总计</w:t>
            </w:r>
          </w:p>
        </w:tc>
      </w:tr>
      <w:tr w14:paraId="60159A4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4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08C95E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D1F0366"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8D1C41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商业</w:t>
            </w:r>
          </w:p>
          <w:p w14:paraId="5ACBCCE1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8AD36C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科研</w:t>
            </w:r>
          </w:p>
          <w:p w14:paraId="2AA72670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机构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9FBF198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DBBA6A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A11A0D2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B83696">
            <w:pPr>
              <w:rPr>
                <w:rFonts w:ascii="宋体"/>
                <w:sz w:val="24"/>
              </w:rPr>
            </w:pPr>
          </w:p>
        </w:tc>
      </w:tr>
      <w:tr w14:paraId="78425FC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FFE0603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1F5BEF5">
            <w:pPr>
              <w:widowControl/>
              <w:jc w:val="center"/>
              <w:rPr>
                <w:rFonts w:hint="eastAsia"/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BA0661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470596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E14CCA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3729E4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680C49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EED9442">
            <w:pPr>
              <w:widowControl/>
              <w:jc w:val="center"/>
              <w:rPr>
                <w:rFonts w:hint="eastAsia"/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0</w:t>
            </w:r>
          </w:p>
        </w:tc>
      </w:tr>
      <w:tr w14:paraId="365C8BED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354B252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BF240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9BC38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5576A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68BB00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BAEF79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C3B54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F7B882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6200641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restart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CE7E0DC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66E13A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434878">
            <w:pPr>
              <w:widowControl/>
              <w:jc w:val="center"/>
              <w:rPr>
                <w:rFonts w:hint="eastAsia"/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22EE18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C22D85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CA6860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2B1E1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494A2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79EE2A7">
            <w:pPr>
              <w:widowControl/>
              <w:jc w:val="center"/>
              <w:rPr>
                <w:rFonts w:hint="eastAsia"/>
                <w:kern w:val="0"/>
                <w:sz w:val="20"/>
                <w:lang w:bidi="ar"/>
              </w:rPr>
            </w:pPr>
            <w:r>
              <w:rPr>
                <w:rFonts w:hint="eastAsia"/>
                <w:kern w:val="0"/>
                <w:sz w:val="20"/>
                <w:lang w:bidi="ar"/>
              </w:rPr>
              <w:t>0</w:t>
            </w:r>
          </w:p>
        </w:tc>
      </w:tr>
      <w:tr w14:paraId="5F3643E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6CB4AB9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2C6B447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（二）部分公开</w:t>
            </w:r>
            <w:r>
              <w:rPr>
                <w:rFonts w:hint="eastAsia" w:ascii="楷体" w:hAnsi="楷体" w:eastAsia="楷体"/>
                <w:kern w:val="0"/>
                <w:sz w:val="20"/>
                <w:lang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87005E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BDCF9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3670D1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475B69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1446C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10687C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40015E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656AECC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0BA5ED7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DD133BD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311EC33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565534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BDD7FB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DB65E5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98FCF2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6A95F6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162E27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3F6A98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4F54B23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75D81DE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ED3F0F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F665EDB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22EA0E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B7FF65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A163E3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2B2F69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DF849E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508C41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8A1BA2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4660EA0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B5E545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FAB4088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25B8200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BC16FD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0BF7F8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A26EBF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E893BF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79E9DC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4AC61F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D410A8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5DD5BFF0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E08BFE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C11131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B24EF7C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7EA938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589A0D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D20ECC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5572A0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74C7FE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975B04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79EA6D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5725E8E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B93CDFE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44908E7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67E8DA1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29DB38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539305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4D2574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4068E9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D43BF11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91B372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78B0B6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2912318B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E840AF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F7C6368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E1B0CC0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2C7CE7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9C99A4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BE3D16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552F32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8EAECC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2E9380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2B4090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0BF13D9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05198F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F412684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F267BE6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1EC2BF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D49DD5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0611A3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63A573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B84E48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65E830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8A13A7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71E3678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A4B8996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A8418B3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52C4334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331BA1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890957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7D6065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F72301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AAC598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176DBD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613D24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5571652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4E60BE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1A0A369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F468EEF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560B3D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5FC5CB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7F8A0C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1BF5BB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39611B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B39886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3A7F0C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087260B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2402D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1C0A58D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C9609D3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6DFC00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654F6C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F68CDD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A76EF6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081BCA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FA6B20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710FB2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219BF68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16A3923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C67FF9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E5547F8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1F15788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2973CE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42BB5B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A3912B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AC88EA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22BC5B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3645C9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261481F1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FB86B9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22F9B41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E0B1137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513BC1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3450DE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CC2BB3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A62DDB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1578ED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7A673D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54677C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69D063AE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4D500DA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3A0C9F5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3B3A750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D281AF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EA2F33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249C5D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2EA45C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90FA77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5D2D2C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356A7D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59CB6987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78C9106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1FE9445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2A0B106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FC239A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CC5489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8ABB37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C64EEAB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11958B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6A9E7B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3F89D3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3BFA077C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A5DD1C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9ECD5A5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6B1A70F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E11DC11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46BC23B9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66A275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5E51AB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A29084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F47FA0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894E38D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35325D15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AC1D5F1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DBA772B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EE65683">
            <w:pPr>
              <w:widowControl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08B10869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7D93C9C8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4E4208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925EDD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59C835A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2216B74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037FC1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63D16673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F91020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000000" w:sz="8" w:space="0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DE7B743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6659FF7">
            <w:pPr>
              <w:widowControl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5F41B4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DC7302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B28DFA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E1F7C3F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7F32E5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E13259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DF5958D">
            <w:pPr>
              <w:widowControl/>
              <w:jc w:val="center"/>
              <w:rPr>
                <w:kern w:val="0"/>
                <w:sz w:val="20"/>
                <w:lang w:bidi="ar"/>
              </w:rPr>
            </w:pPr>
          </w:p>
          <w:p w14:paraId="000948D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4019388F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A5CED85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8AF4638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AF021FF">
            <w:pPr>
              <w:widowControl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47B4D8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FB75C4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2B08AF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1799C3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790A5F3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058AFE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8D663FE">
            <w:pPr>
              <w:widowControl/>
              <w:jc w:val="center"/>
              <w:rPr>
                <w:kern w:val="0"/>
                <w:sz w:val="20"/>
                <w:lang w:bidi="ar"/>
              </w:rPr>
            </w:pPr>
          </w:p>
          <w:p w14:paraId="055CE08E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</w:tr>
      <w:tr w14:paraId="650B113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EC4534B"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000000" w:sz="8" w:space="0"/>
              <w:left w:val="nil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0C0262A"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BA02801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30926B3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AC32045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AFEEDB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A45D76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A3D12C1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5B838D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6A19752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613AD03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000000" w:sz="8" w:space="0"/>
              <w:bottom w:val="outset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69CEC32"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2811FF1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B1E9CA0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56FD78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7F34C55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8A745C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0D94989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1367A86A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3470183E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</w:tr>
      <w:tr w14:paraId="375197F9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DC6471E">
            <w:pPr>
              <w:widowControl/>
              <w:jc w:val="left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DEC1E3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431CB7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451FEB87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71014EC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5F6DFC14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CD9141">
            <w:pPr>
              <w:widowControl/>
              <w:jc w:val="center"/>
              <w:rPr>
                <w:kern w:val="0"/>
                <w:sz w:val="20"/>
                <w:lang w:bidi="ar"/>
              </w:rPr>
            </w:pPr>
            <w:r>
              <w:rPr>
                <w:kern w:val="0"/>
                <w:sz w:val="20"/>
                <w:lang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top"/>
          </w:tcPr>
          <w:p w14:paraId="67647844">
            <w:pPr>
              <w:ind w:firstLine="200" w:firstLineChars="100"/>
              <w:jc w:val="center"/>
              <w:rPr>
                <w:rFonts w:hint="eastAsia" w:ascii="宋体"/>
                <w:sz w:val="20"/>
              </w:rPr>
            </w:pPr>
            <w:r>
              <w:rPr>
                <w:rFonts w:hint="eastAsia" w:ascii="宋体"/>
                <w:sz w:val="20"/>
              </w:rPr>
              <w:t>0</w:t>
            </w:r>
          </w:p>
        </w:tc>
      </w:tr>
    </w:tbl>
    <w:p w14:paraId="1A92103B">
      <w:pPr>
        <w:widowControl/>
        <w:shd w:val="clear" w:color="auto" w:fill="FFFFFF"/>
        <w:rPr>
          <w:rFonts w:ascii="宋体" w:hAnsi="宋体"/>
          <w:color w:val="333333"/>
          <w:sz w:val="24"/>
        </w:rPr>
      </w:pPr>
    </w:p>
    <w:p w14:paraId="63651235">
      <w:pPr>
        <w:pStyle w:val="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/>
          <w:color w:val="333333"/>
          <w:sz w:val="32"/>
          <w:shd w:val="clear" w:color="auto" w:fill="FFFFFF"/>
        </w:rPr>
      </w:pPr>
    </w:p>
    <w:p w14:paraId="0BF6C5FE">
      <w:pPr>
        <w:pStyle w:val="8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2"/>
        <w:tblW w:w="9748" w:type="dxa"/>
        <w:jc w:val="center"/>
        <w:tblBorders>
          <w:top w:val="none" w:color="000000" w:sz="6" w:space="0"/>
          <w:left w:val="none" w:color="000000" w:sz="6" w:space="0"/>
          <w:bottom w:val="none" w:color="000000" w:sz="6" w:space="0"/>
          <w:right w:val="none" w:color="000000" w:sz="6" w:space="0"/>
          <w:insideH w:val="thickThinLargeGap" w:color="000000" w:sz="6" w:space="0"/>
          <w:insideV w:val="thickThinLargeGap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60778C4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425A3C7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76BF457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行政诉讼</w:t>
            </w:r>
          </w:p>
        </w:tc>
      </w:tr>
      <w:tr w14:paraId="32636A38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59872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49390D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931194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8451CD8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C2AAAA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DC4859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1A3FDB3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复议后起诉</w:t>
            </w:r>
          </w:p>
        </w:tc>
      </w:tr>
      <w:tr w14:paraId="18BFC7A2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5C42EC0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5E5AA0C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3E3639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998DB7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D60D2"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5B0F34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D89648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F8FE36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A4E1C7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7BC8D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C2DBAD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0A17F3C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结果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87B827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其他</w:t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4A91B8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lang w:bidi="ar"/>
              </w:rPr>
              <w:t>尚未</w:t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/>
                <w:kern w:val="0"/>
                <w:sz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2EECF5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lang w:bidi="ar"/>
              </w:rPr>
              <w:t>总计</w:t>
            </w:r>
          </w:p>
        </w:tc>
      </w:tr>
      <w:tr w14:paraId="4B25092A">
        <w:tblPrEx>
          <w:tblBorders>
            <w:top w:val="none" w:color="000000" w:sz="6" w:space="0"/>
            <w:left w:val="none" w:color="000000" w:sz="6" w:space="0"/>
            <w:bottom w:val="none" w:color="000000" w:sz="6" w:space="0"/>
            <w:right w:val="none" w:color="000000" w:sz="6" w:space="0"/>
            <w:insideH w:val="thickThinLargeGap" w:color="000000" w:sz="6" w:space="0"/>
            <w:insideV w:val="thickThinLargeGap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59424D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CBAA29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5FCBA1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33706E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35888A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0E66D27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6AE774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BAE4B2D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CFFAEBB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1471FCA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DF01C0B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sz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D852289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C1FE3D2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宋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753B91C">
            <w:pPr>
              <w:widowControl/>
              <w:jc w:val="center"/>
              <w:rPr>
                <w:rFonts w:hint="eastAsia" w:ascii="黑体" w:hAnsi="黑体" w:eastAsia="黑体"/>
                <w:kern w:val="0"/>
                <w:sz w:val="20"/>
                <w:lang w:bidi="ar"/>
              </w:rPr>
            </w:pPr>
            <w:r>
              <w:rPr>
                <w:rFonts w:hint="eastAsia" w:ascii="黑体" w:hAnsi="黑体" w:eastAsia="黑体"/>
                <w:kern w:val="0"/>
                <w:sz w:val="20"/>
                <w:lang w:bidi="ar"/>
              </w:rPr>
              <w:t>０</w:t>
            </w:r>
          </w:p>
        </w:tc>
        <w:tc>
          <w:tcPr>
            <w:tcW w:w="6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4F3577"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0</w:t>
            </w:r>
          </w:p>
        </w:tc>
      </w:tr>
    </w:tbl>
    <w:p w14:paraId="722D5E63">
      <w:pPr>
        <w:widowControl/>
        <w:jc w:val="left"/>
      </w:pPr>
    </w:p>
    <w:p w14:paraId="3677083A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五、存在的主要问题及改进情况</w:t>
      </w:r>
    </w:p>
    <w:p w14:paraId="52B4116B">
      <w:pPr>
        <w:widowControl/>
        <w:spacing w:line="560" w:lineRule="exact"/>
        <w:ind w:firstLine="48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（一）存在的问题</w:t>
      </w:r>
    </w:p>
    <w:p w14:paraId="204FB80D">
      <w:pPr>
        <w:widowControl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年，通过全局民警的工作努力，我局政府信息公开工作，更加规范化，制度化，但与上级的要求和群众的期盼还存在差距，主要具体表现在：</w:t>
      </w:r>
    </w:p>
    <w:p w14:paraId="7E786A59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一是因为对《</w:t>
      </w:r>
      <w:r>
        <w:rPr>
          <w:rFonts w:hint="eastAsia" w:ascii="仿宋" w:hAnsi="仿宋" w:eastAsia="仿宋"/>
          <w:color w:val="000000"/>
          <w:sz w:val="32"/>
          <w:szCs w:val="32"/>
        </w:rPr>
        <w:t>中华人民共和国政府信息公开条例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》学习不够深入，导致政府信息公开工作质量和水平不高。</w:t>
      </w:r>
    </w:p>
    <w:p w14:paraId="53954237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二是公开信息还不够全面，内容有待丰富。</w:t>
      </w:r>
    </w:p>
    <w:p w14:paraId="6503BA23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政务服务平台办事指南不准确。办事指南中存在要素缺失、材料要求不明确、表述含糊不清等问题。我局已组织涉及的出入境管理部门、禁毒大队、交警大队秩序科、车管所、户政中队、民爆中队等部门会同政务大厅公安窗口，集中对存在的内容不完善、要素不完整、事项内容不准确等问题进行了更正、补充和完善，目前已整改完毕。</w:t>
      </w:r>
    </w:p>
    <w:p w14:paraId="0579184A">
      <w:pPr>
        <w:widowControl/>
        <w:spacing w:line="560" w:lineRule="exact"/>
        <w:ind w:firstLine="480"/>
        <w:rPr>
          <w:rFonts w:hint="eastAsia" w:ascii="楷体" w:hAnsi="楷体" w:eastAsia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/>
          <w:color w:val="000000"/>
          <w:kern w:val="0"/>
          <w:sz w:val="32"/>
          <w:szCs w:val="32"/>
        </w:rPr>
        <w:t>（二）下一步改进措施</w:t>
      </w:r>
    </w:p>
    <w:p w14:paraId="4C760B24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年，我局将从以下方面进行积极改进：</w:t>
      </w:r>
    </w:p>
    <w:p w14:paraId="361F7040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一是进一步加强对政府信息公开工作的领导，加强对干部职工政府信息公开工作的教育培训。</w:t>
      </w:r>
    </w:p>
    <w:p w14:paraId="6DA913C4">
      <w:pPr>
        <w:widowControl/>
        <w:spacing w:line="560" w:lineRule="exact"/>
        <w:ind w:firstLine="640" w:firstLineChars="200"/>
        <w:rPr>
          <w:rFonts w:hint="eastAsia"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二是认真学习新修订的</w:t>
      </w:r>
      <w:r>
        <w:rPr>
          <w:rFonts w:hint="eastAsia" w:ascii="仿宋" w:hAnsi="仿宋" w:eastAsia="仿宋"/>
          <w:color w:val="000000"/>
          <w:sz w:val="32"/>
          <w:szCs w:val="32"/>
        </w:rPr>
        <w:t>《中华人民共和国政府信息公开条例》，促进政府信息工作规范化、标准化、常态化。</w:t>
      </w:r>
    </w:p>
    <w:p w14:paraId="650E0898">
      <w:pPr>
        <w:spacing w:line="560" w:lineRule="exact"/>
        <w:ind w:firstLine="645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三是</w:t>
      </w:r>
      <w:r>
        <w:rPr>
          <w:rFonts w:hint="eastAsia" w:ascii="仿宋" w:hAnsi="仿宋" w:eastAsia="仿宋"/>
          <w:sz w:val="32"/>
          <w:szCs w:val="32"/>
        </w:rPr>
        <w:t>针对政府门户网站我局所涉及的服务平台，组织相关部门人员进行学习，各部门针对涉及的本部门业务指定专人进行录入，明确责任，严格按照平台填报要素进行完善，坚决杜绝出现空缺项。</w:t>
      </w:r>
    </w:p>
    <w:p w14:paraId="2FC981BC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四是针对政务新媒体方面，一是严格规范进行信息采集、审核、发布，更新机制，做好信息发布；二是及时更新网站内容，及时更新相关信息，提高网站关注度。确保新媒体账号健康发展，安全高效运行。</w:t>
      </w:r>
    </w:p>
    <w:p w14:paraId="6F8DDFFC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736" w:firstLineChars="230"/>
        <w:jc w:val="both"/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六、其他需要报告的事项</w:t>
      </w:r>
    </w:p>
    <w:p w14:paraId="1CCFE37C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736" w:firstLineChars="23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</w:rPr>
        <w:t>侯马市公安局202</w:t>
      </w:r>
      <w:r>
        <w:rPr>
          <w:rFonts w:hint="eastAsia" w:ascii="仿宋" w:hAnsi="仿宋" w:eastAsia="仿宋"/>
          <w:color w:val="000000"/>
          <w:sz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</w:rPr>
        <w:t>年度未收取政府信息公开信息处理费。</w:t>
      </w:r>
    </w:p>
    <w:p w14:paraId="21CC1023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29B02385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仿宋" w:hAnsi="仿宋" w:eastAsia="仿宋"/>
          <w:color w:val="000000"/>
          <w:sz w:val="32"/>
          <w:szCs w:val="32"/>
        </w:rPr>
      </w:pPr>
    </w:p>
    <w:p w14:paraId="3AA77799">
      <w:pPr>
        <w:pStyle w:val="8"/>
        <w:widowControl/>
        <w:shd w:val="clear" w:color="auto" w:fill="FFFFFF"/>
        <w:spacing w:before="0" w:beforeAutospacing="0" w:after="0" w:afterAutospacing="0" w:line="560" w:lineRule="exact"/>
        <w:ind w:firstLine="4576" w:firstLineChars="1430"/>
        <w:jc w:val="both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年1月2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399A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rPr>
        <w:lang w:val="zh-CN"/>
      </w:rPr>
      <w:fldChar w:fldCharType="end"/>
    </w:r>
  </w:p>
  <w:p w14:paraId="555F55F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93F72"/>
    <w:rsid w:val="1D2A3FFB"/>
    <w:rsid w:val="7ECA708D"/>
    <w:rsid w:val="7F4F69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8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customStyle="1" w:styleId="9">
    <w:name w:val="页脚 Char"/>
    <w:link w:val="6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1007</Words>
  <Characters>1059</Characters>
  <Lines>0</Lines>
  <Paragraphs>0</Paragraphs>
  <TotalTime>17</TotalTime>
  <ScaleCrop>false</ScaleCrop>
  <LinksUpToDate>false</LinksUpToDate>
  <CharactersWithSpaces>1063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2025-01-20T03:33:00Z</dcterms:created>
  <dc:creator>婉婉麻麻</dc:creator>
  <cp:lastModifiedBy>婉婉麻麻</cp:lastModifiedBy>
  <cp:lastPrinted>2025-01-21T07:56:18Z</cp:lastPrinted>
  <dcterms:modified xsi:type="dcterms:W3CDTF">2025-01-21T07:56:23Z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eyJoZGlkIjoiMjY3MmI3ZTdlMDQzOWQzYzVhMDJlNTlmMmNkNTljYTAiLCJ1c2VySWQiOiIxMDc3NzY3ODkxIn0=</vt:lpwstr>
  </property>
  <property fmtid="{D5CDD505-2E9C-101B-9397-08002B2CF9AE}" pid="3" name="KSOProductBuildVer">
    <vt:lpwstr>2052-12.1.0.19302</vt:lpwstr>
  </property>
  <property fmtid="{D5CDD505-2E9C-101B-9397-08002B2CF9AE}" pid="4" name="ICV">
    <vt:lpwstr>420044C57927456A9DA7361ADD521A04_12</vt:lpwstr>
  </property>
</Properties>
</file>