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after="300" w:line="600" w:lineRule="exact"/>
        <w:jc w:val="center"/>
        <w:outlineLvl w:val="0"/>
        <w:rPr>
          <w:rFonts w:hint="eastAsia" w:ascii="方正小标宋简体" w:hAnsi="微软雅黑" w:eastAsia="方正小标宋简体" w:cs="宋体"/>
          <w:color w:val="333333"/>
          <w:kern w:val="36"/>
          <w:sz w:val="44"/>
          <w:szCs w:val="44"/>
        </w:rPr>
      </w:pPr>
      <w:r>
        <w:rPr>
          <w:rFonts w:hint="eastAsia" w:ascii="方正小标宋简体" w:hAnsi="微软雅黑" w:eastAsia="方正小标宋简体" w:cs="宋体"/>
          <w:color w:val="333333"/>
          <w:kern w:val="36"/>
          <w:sz w:val="44"/>
          <w:szCs w:val="44"/>
        </w:rPr>
        <w:t>侯马市农业农村局2022年政府信息公开工作年度报告</w:t>
      </w:r>
    </w:p>
    <w:p>
      <w:pPr>
        <w:widowControl/>
        <w:shd w:val="clear" w:color="auto" w:fill="FFFFFF"/>
        <w:jc w:val="center"/>
        <w:rPr>
          <w:rFonts w:hint="eastAsia" w:ascii="微软雅黑" w:hAnsi="微软雅黑" w:eastAsia="微软雅黑" w:cs="宋体"/>
          <w:color w:val="898989"/>
          <w:kern w:val="0"/>
          <w:szCs w:val="21"/>
        </w:rPr>
      </w:pPr>
      <w:r>
        <w:rPr>
          <w:rFonts w:hint="eastAsia" w:ascii="微软雅黑" w:hAnsi="微软雅黑" w:eastAsia="微软雅黑" w:cs="宋体"/>
          <w:color w:val="898989"/>
          <w:kern w:val="0"/>
          <w:szCs w:val="21"/>
        </w:rPr>
        <w:t>    </w:t>
      </w:r>
      <w:r>
        <w:rPr>
          <w:rFonts w:hint="eastAsia" w:ascii="微软雅黑" w:hAnsi="微软雅黑" w:eastAsia="微软雅黑" w:cs="宋体"/>
          <w:color w:val="898989"/>
          <w:kern w:val="0"/>
        </w:rPr>
        <w:t> </w:t>
      </w:r>
    </w:p>
    <w:p>
      <w:pPr>
        <w:widowControl/>
        <w:shd w:val="clear" w:color="auto" w:fill="FFFFFF"/>
        <w:spacing w:line="450" w:lineRule="atLeast"/>
        <w:rPr>
          <w:rFonts w:hint="eastAsia" w:ascii="微软雅黑" w:hAnsi="微软雅黑" w:eastAsia="微软雅黑" w:cs="宋体"/>
          <w:color w:val="333333"/>
          <w:kern w:val="0"/>
          <w:sz w:val="24"/>
          <w:szCs w:val="24"/>
        </w:rPr>
      </w:pPr>
      <w:r>
        <w:rPr>
          <w:rFonts w:hint="eastAsia" w:ascii="MS Gothic" w:hAnsi="MS Gothic" w:eastAsia="MS Gothic" w:cs="MS Gothic"/>
          <w:color w:val="333333"/>
          <w:kern w:val="0"/>
          <w:sz w:val="24"/>
          <w:szCs w:val="24"/>
        </w:rPr>
        <w:t> </w:t>
      </w:r>
      <w:r>
        <w:rPr>
          <w:rFonts w:hint="eastAsia" w:ascii="黑体" w:hAnsi="黑体" w:eastAsia="黑体" w:cs="宋体"/>
          <w:color w:val="333333"/>
          <w:kern w:val="0"/>
          <w:sz w:val="32"/>
          <w:szCs w:val="32"/>
        </w:rPr>
        <w:t>一、总体情况</w:t>
      </w:r>
    </w:p>
    <w:p>
      <w:pPr>
        <w:widowControl/>
        <w:shd w:val="clear" w:color="auto" w:fill="FFFFFF"/>
        <w:spacing w:line="450" w:lineRule="atLeast"/>
        <w:ind w:firstLine="645"/>
        <w:rPr>
          <w:rFonts w:hint="eastAsia" w:ascii="楷体_GB2312" w:hAnsi="微软雅黑" w:eastAsia="楷体_GB2312" w:cs="宋体"/>
          <w:color w:val="333333"/>
          <w:kern w:val="0"/>
          <w:sz w:val="24"/>
          <w:szCs w:val="24"/>
        </w:rPr>
      </w:pPr>
      <w:r>
        <w:rPr>
          <w:rFonts w:hint="eastAsia" w:ascii="楷体_GB2312" w:hAnsi="MS Mincho" w:eastAsia="MS Mincho" w:cs="MS Mincho"/>
          <w:color w:val="333333"/>
          <w:kern w:val="0"/>
          <w:sz w:val="32"/>
          <w:szCs w:val="32"/>
        </w:rPr>
        <w:t> </w:t>
      </w:r>
      <w:r>
        <w:rPr>
          <w:rFonts w:hint="eastAsia" w:ascii="楷体_GB2312" w:hAnsi="微软雅黑" w:eastAsia="楷体_GB2312" w:cs="宋体"/>
          <w:color w:val="333333"/>
          <w:kern w:val="0"/>
          <w:sz w:val="32"/>
          <w:szCs w:val="32"/>
        </w:rPr>
        <w:t>(一)政府信息公开工作机构和人员设置情况</w:t>
      </w:r>
    </w:p>
    <w:p>
      <w:pPr>
        <w:widowControl/>
        <w:shd w:val="clear" w:color="auto" w:fill="FFFFFF"/>
        <w:spacing w:line="450" w:lineRule="atLeast"/>
        <w:ind w:firstLine="645"/>
        <w:rPr>
          <w:rFonts w:hint="eastAsia" w:ascii="微软雅黑" w:hAnsi="微软雅黑" w:eastAsia="微软雅黑" w:cs="宋体"/>
          <w:color w:val="333333"/>
          <w:kern w:val="0"/>
          <w:sz w:val="24"/>
          <w:szCs w:val="24"/>
        </w:rPr>
      </w:pPr>
      <w:r>
        <w:rPr>
          <w:rFonts w:hint="eastAsia" w:ascii="仿宋_GB2312" w:hAnsi="微软雅黑" w:eastAsia="仿宋_GB2312" w:cs="宋体"/>
          <w:color w:val="333333"/>
          <w:kern w:val="0"/>
          <w:sz w:val="32"/>
          <w:szCs w:val="32"/>
        </w:rPr>
        <w:t>为加强对政府信息公开工作的组织领导，我局成立了侯马市农业农村局政务公开和政府信息公开工作领导小组，领导小组下设办公室，设在局办公室，负责政务公开和政府信息公开材料收集和具体公开工作，局其他股室按职能负责配合提供需公开的信息项目，拜晓华副局长兼任办公室主任，孟海玲兼任办公室副主任，具体负责政务信息公开工作。</w:t>
      </w:r>
    </w:p>
    <w:p>
      <w:pPr>
        <w:widowControl/>
        <w:shd w:val="clear" w:color="auto" w:fill="FFFFFF"/>
        <w:spacing w:line="450" w:lineRule="atLeast"/>
        <w:rPr>
          <w:rFonts w:hint="eastAsia" w:ascii="楷体_GB2312" w:hAnsi="MS Mincho" w:eastAsia="楷体_GB2312" w:cs="MS Mincho"/>
          <w:color w:val="333333"/>
          <w:kern w:val="0"/>
          <w:sz w:val="32"/>
          <w:szCs w:val="32"/>
        </w:rPr>
      </w:pPr>
      <w:r>
        <w:rPr>
          <w:rFonts w:hint="eastAsia" w:ascii="MS Mincho" w:hAnsi="MS Mincho" w:eastAsia="MS Mincho" w:cs="MS Mincho"/>
          <w:color w:val="333333"/>
          <w:kern w:val="0"/>
          <w:sz w:val="32"/>
          <w:szCs w:val="32"/>
        </w:rPr>
        <w:t>   </w:t>
      </w:r>
      <w:r>
        <w:rPr>
          <w:rFonts w:hint="eastAsia" w:ascii="楷体_GB2312" w:hAnsi="MS Mincho" w:eastAsia="MS Mincho" w:cs="MS Mincho"/>
          <w:color w:val="333333"/>
          <w:kern w:val="0"/>
          <w:sz w:val="32"/>
          <w:szCs w:val="32"/>
        </w:rPr>
        <w:t> </w:t>
      </w:r>
      <w:r>
        <w:rPr>
          <w:rFonts w:hint="eastAsia" w:ascii="楷体_GB2312" w:hAnsi="MS Mincho" w:eastAsia="楷体_GB2312" w:cs="MS Mincho"/>
          <w:color w:val="333333"/>
          <w:kern w:val="0"/>
          <w:sz w:val="32"/>
          <w:szCs w:val="32"/>
        </w:rPr>
        <w:t>(二)建立健全政府信息公开工作制度</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严格按照《政府信息公开条例》，我局制定并公开了侯马市农业农村局政府信息公开工作制度。</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1.主动公开制度。建立主动公开制度，明确职责、程序、公开方式和时限要求。</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2.依法申请公开制度。制定依法申请公开的工作规程，明确申请的受理、审查、处理、答复等各个环节的具体要求。</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3.保密审查制度。对各类文件进行定性，确定公开属性和保密级别等，明确有关保密审查的职责分工、审查程序和责任追究办法，保证不发生泄密问题。</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4.关于全面推进五公开＂纳入办文办会程序制度。明确机关公文主动公开、依申请公开、不予公开等属性，随公文一井报批，拟不公开的依法依规说明理由，做好公文公开属性源头认定。</w:t>
      </w:r>
    </w:p>
    <w:p>
      <w:pPr>
        <w:widowControl/>
        <w:shd w:val="clear" w:color="auto" w:fill="FFFFFF"/>
        <w:spacing w:line="540" w:lineRule="atLeast"/>
        <w:ind w:firstLine="420"/>
        <w:rPr>
          <w:rFonts w:hint="eastAsia" w:ascii="黑体" w:hAnsi="黑体" w:eastAsia="黑体" w:cs="宋体"/>
          <w:color w:val="333333"/>
          <w:kern w:val="0"/>
          <w:sz w:val="32"/>
          <w:szCs w:val="32"/>
        </w:rPr>
      </w:pPr>
      <w:r>
        <w:rPr>
          <w:rFonts w:hint="eastAsia" w:ascii="黑体" w:hAnsi="黑体" w:eastAsia="黑体" w:cs="宋体"/>
          <w:bCs/>
          <w:color w:val="333333"/>
          <w:kern w:val="0"/>
          <w:sz w:val="32"/>
          <w:szCs w:val="32"/>
        </w:rPr>
        <w:t>二、主动公开政府信息情况</w:t>
      </w:r>
    </w:p>
    <w:tbl>
      <w:tblPr>
        <w:tblStyle w:val="4"/>
        <w:tblW w:w="9280" w:type="dxa"/>
        <w:jc w:val="center"/>
        <w:tblLayout w:type="autofit"/>
        <w:tblCellMar>
          <w:top w:w="0" w:type="dxa"/>
          <w:left w:w="0" w:type="dxa"/>
          <w:bottom w:w="0" w:type="dxa"/>
          <w:right w:w="0" w:type="dxa"/>
        </w:tblCellMar>
      </w:tblPr>
      <w:tblGrid>
        <w:gridCol w:w="2320"/>
        <w:gridCol w:w="2320"/>
        <w:gridCol w:w="2320"/>
        <w:gridCol w:w="2320"/>
      </w:tblGrid>
      <w:tr>
        <w:tblPrEx>
          <w:tblCellMar>
            <w:top w:w="0" w:type="dxa"/>
            <w:left w:w="0" w:type="dxa"/>
            <w:bottom w:w="0" w:type="dxa"/>
            <w:right w:w="0" w:type="dxa"/>
          </w:tblCellMar>
        </w:tblPrEx>
        <w:trPr>
          <w:trHeight w:val="462" w:hRule="atLeast"/>
          <w:jc w:val="center"/>
        </w:trPr>
        <w:tc>
          <w:tcPr>
            <w:tcW w:w="92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第二十条第（一）项</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信息内容</w:t>
            </w:r>
          </w:p>
        </w:tc>
        <w:tc>
          <w:tcPr>
            <w:tcW w:w="232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本年</w:t>
            </w:r>
            <w:r>
              <w:rPr>
                <w:rFonts w:hint="eastAsia" w:ascii="宋体" w:hAnsi="宋体"/>
                <w:kern w:val="0"/>
                <w:sz w:val="20"/>
                <w:szCs w:val="20"/>
              </w:rPr>
              <w:t>制发件数</w:t>
            </w:r>
          </w:p>
        </w:tc>
        <w:tc>
          <w:tcPr>
            <w:tcW w:w="232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本年废止件数</w:t>
            </w:r>
          </w:p>
        </w:tc>
        <w:tc>
          <w:tcPr>
            <w:tcW w:w="2320"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现行有效件</w:t>
            </w:r>
            <w:r>
              <w:rPr>
                <w:rFonts w:hint="eastAsia" w:ascii="宋体" w:hAnsi="宋体"/>
                <w:kern w:val="0"/>
                <w:sz w:val="20"/>
                <w:szCs w:val="20"/>
              </w:rPr>
              <w:t>数</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规章</w:t>
            </w:r>
          </w:p>
        </w:tc>
        <w:tc>
          <w:tcPr>
            <w:tcW w:w="23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　　0</w:t>
            </w:r>
          </w:p>
        </w:tc>
        <w:tc>
          <w:tcPr>
            <w:tcW w:w="23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 　0</w:t>
            </w:r>
          </w:p>
        </w:tc>
        <w:tc>
          <w:tcPr>
            <w:tcW w:w="23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cs="Calibri"/>
                <w:kern w:val="0"/>
              </w:rPr>
              <w:t> </w:t>
            </w:r>
            <w:r>
              <w:rPr>
                <w:rFonts w:hint="eastAsia" w:cs="Calibri"/>
                <w:kern w:val="0"/>
              </w:rPr>
              <w:t>0</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行政规范性文件</w:t>
            </w:r>
          </w:p>
        </w:tc>
        <w:tc>
          <w:tcPr>
            <w:tcW w:w="23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　　0</w:t>
            </w:r>
          </w:p>
        </w:tc>
        <w:tc>
          <w:tcPr>
            <w:tcW w:w="23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 　0</w:t>
            </w:r>
          </w:p>
        </w:tc>
        <w:tc>
          <w:tcPr>
            <w:tcW w:w="232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cs="Calibri"/>
                <w:kern w:val="0"/>
              </w:rPr>
              <w:t> </w:t>
            </w:r>
            <w:r>
              <w:rPr>
                <w:rFonts w:hint="eastAsia" w:cs="Calibri"/>
                <w:kern w:val="0"/>
              </w:rPr>
              <w:t>0</w:t>
            </w:r>
          </w:p>
        </w:tc>
      </w:tr>
      <w:tr>
        <w:tblPrEx>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第二十条第（五）项</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信息内容</w:t>
            </w:r>
          </w:p>
        </w:tc>
        <w:tc>
          <w:tcPr>
            <w:tcW w:w="6960"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本年处理决定数量</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行政许可</w:t>
            </w:r>
          </w:p>
        </w:tc>
        <w:tc>
          <w:tcPr>
            <w:tcW w:w="6960"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cs="Calibri"/>
                <w:kern w:val="0"/>
              </w:rPr>
              <w:t> </w:t>
            </w:r>
            <w:r>
              <w:rPr>
                <w:rFonts w:hint="eastAsia" w:cs="Calibri"/>
                <w:kern w:val="0"/>
              </w:rPr>
              <w:t>0</w:t>
            </w:r>
          </w:p>
        </w:tc>
      </w:tr>
      <w:tr>
        <w:tblPrEx>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第二十条第（六）项</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信息内容</w:t>
            </w:r>
          </w:p>
        </w:tc>
        <w:tc>
          <w:tcPr>
            <w:tcW w:w="6960" w:type="dxa"/>
            <w:gridSpan w:val="3"/>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本年处理决定数量</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行政处罚</w:t>
            </w:r>
          </w:p>
        </w:tc>
        <w:tc>
          <w:tcPr>
            <w:tcW w:w="6960"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　31</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行政强制</w:t>
            </w:r>
          </w:p>
        </w:tc>
        <w:tc>
          <w:tcPr>
            <w:tcW w:w="6960" w:type="dxa"/>
            <w:gridSpan w:val="3"/>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　0</w:t>
            </w:r>
          </w:p>
        </w:tc>
      </w:tr>
      <w:tr>
        <w:tblPrEx>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第二十条第（八）项</w:t>
            </w:r>
          </w:p>
        </w:tc>
      </w:tr>
      <w:tr>
        <w:tblPrEx>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信息内容</w:t>
            </w:r>
          </w:p>
        </w:tc>
        <w:tc>
          <w:tcPr>
            <w:tcW w:w="6960"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color w:val="000000"/>
                <w:kern w:val="0"/>
                <w:sz w:val="20"/>
                <w:szCs w:val="20"/>
              </w:rPr>
              <w:t>本年收费金额（单位：万元）</w:t>
            </w:r>
          </w:p>
        </w:tc>
      </w:tr>
      <w:tr>
        <w:tblPrEx>
          <w:tblCellMar>
            <w:top w:w="0" w:type="dxa"/>
            <w:left w:w="0" w:type="dxa"/>
            <w:bottom w:w="0" w:type="dxa"/>
            <w:right w:w="0" w:type="dxa"/>
          </w:tblCellMar>
        </w:tblPrEx>
        <w:trPr>
          <w:trHeight w:val="508" w:hRule="atLeast"/>
          <w:jc w:val="center"/>
        </w:trPr>
        <w:tc>
          <w:tcPr>
            <w:tcW w:w="2320" w:type="dxa"/>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color w:val="000000"/>
                <w:kern w:val="0"/>
                <w:sz w:val="20"/>
                <w:szCs w:val="20"/>
              </w:rPr>
              <w:t>行政事业性收费</w:t>
            </w:r>
          </w:p>
        </w:tc>
        <w:tc>
          <w:tcPr>
            <w:tcW w:w="6960" w:type="dxa"/>
            <w:gridSpan w:val="3"/>
            <w:tcBorders>
              <w:top w:val="nil"/>
              <w:left w:val="nil"/>
              <w:bottom w:val="single" w:color="auto" w:sz="8" w:space="0"/>
              <w:right w:val="single" w:color="000000" w:sz="8" w:space="0"/>
            </w:tcBorders>
            <w:tcMar>
              <w:top w:w="0" w:type="dxa"/>
              <w:left w:w="57" w:type="dxa"/>
              <w:bottom w:w="0" w:type="dxa"/>
              <w:right w:w="57" w:type="dxa"/>
            </w:tcMar>
            <w:vAlign w:val="center"/>
          </w:tcPr>
          <w:p>
            <w:pPr>
              <w:rPr>
                <w:rFonts w:ascii="宋体" w:hAnsi="Calibri" w:eastAsia="宋体"/>
                <w:sz w:val="24"/>
                <w:szCs w:val="24"/>
              </w:rPr>
            </w:pPr>
            <w:r>
              <w:rPr>
                <w:rFonts w:hint="eastAsia" w:ascii="宋体" w:hAnsi="Calibri" w:eastAsia="宋体"/>
                <w:sz w:val="24"/>
                <w:szCs w:val="24"/>
              </w:rPr>
              <w:t>0</w:t>
            </w:r>
          </w:p>
        </w:tc>
      </w:tr>
    </w:tbl>
    <w:p>
      <w:pPr>
        <w:pStyle w:val="3"/>
        <w:shd w:val="clear" w:color="auto" w:fill="FFFFFF"/>
        <w:spacing w:before="0" w:beforeAutospacing="0" w:after="0" w:afterAutospacing="0"/>
        <w:jc w:val="both"/>
        <w:rPr>
          <w:rFonts w:ascii="黑体" w:hAnsi="黑体" w:eastAsia="黑体"/>
          <w:color w:val="333333"/>
          <w:sz w:val="32"/>
          <w:szCs w:val="32"/>
        </w:rPr>
      </w:pPr>
      <w:r>
        <w:rPr>
          <w:rFonts w:hint="eastAsia" w:ascii="黑体" w:hAnsi="黑体" w:eastAsia="黑体"/>
          <w:b/>
          <w:color w:val="333333"/>
          <w:sz w:val="32"/>
          <w:szCs w:val="32"/>
          <w:shd w:val="clear" w:color="auto" w:fill="FFFFFF"/>
        </w:rPr>
        <w:t>三、收到和处理政府信息公开申请情况</w:t>
      </w:r>
    </w:p>
    <w:tbl>
      <w:tblPr>
        <w:tblStyle w:val="4"/>
        <w:tblW w:w="985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76"/>
        <w:gridCol w:w="953"/>
        <w:gridCol w:w="3258"/>
        <w:gridCol w:w="695"/>
        <w:gridCol w:w="695"/>
        <w:gridCol w:w="695"/>
        <w:gridCol w:w="695"/>
        <w:gridCol w:w="695"/>
        <w:gridCol w:w="699"/>
        <w:gridCol w:w="69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jc w:val="left"/>
              <w:rPr>
                <w:rFonts w:ascii="Calibri" w:hAnsi="Calibri" w:eastAsia="宋体"/>
                <w:szCs w:val="21"/>
              </w:rPr>
            </w:pPr>
            <w:r>
              <w:rPr>
                <w:rFonts w:hint="eastAsia" w:ascii="楷体" w:hAnsi="楷体" w:eastAsia="楷体"/>
                <w:kern w:val="0"/>
                <w:sz w:val="20"/>
                <w:szCs w:val="20"/>
              </w:rPr>
              <w:t>（本列数据的勾稽关系为：第一项加第二项之和，等于第三项加第四项之和）</w:t>
            </w:r>
          </w:p>
        </w:tc>
        <w:tc>
          <w:tcPr>
            <w:tcW w:w="4872"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kern w:val="0"/>
                <w:sz w:val="20"/>
                <w:szCs w:val="20"/>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695"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kern w:val="0"/>
                <w:sz w:val="20"/>
                <w:szCs w:val="20"/>
              </w:rPr>
              <w:t>自然人</w:t>
            </w:r>
          </w:p>
        </w:tc>
        <w:tc>
          <w:tcPr>
            <w:tcW w:w="3479"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kern w:val="0"/>
                <w:sz w:val="20"/>
                <w:szCs w:val="20"/>
              </w:rPr>
              <w:t>法人或其他组织</w:t>
            </w:r>
          </w:p>
        </w:tc>
        <w:tc>
          <w:tcPr>
            <w:tcW w:w="698"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0" w:type="auto"/>
            <w:gridSpan w:val="3"/>
            <w:vMerge w:val="continue"/>
            <w:tcBorders>
              <w:top w:val="single" w:color="auto" w:sz="8" w:space="0"/>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szCs w:val="21"/>
              </w:rPr>
            </w:pP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szCs w:val="21"/>
              </w:rPr>
            </w:pPr>
            <w:r>
              <w:rPr>
                <w:rFonts w:hint="eastAsia" w:ascii="宋体" w:hAnsi="宋体"/>
                <w:kern w:val="0"/>
                <w:sz w:val="20"/>
                <w:szCs w:val="20"/>
              </w:rPr>
              <w:t>商业</w:t>
            </w:r>
          </w:p>
          <w:p>
            <w:pPr>
              <w:widowControl/>
              <w:jc w:val="center"/>
              <w:rPr>
                <w:rFonts w:ascii="Calibri" w:hAnsi="Calibri" w:eastAsia="宋体"/>
                <w:szCs w:val="21"/>
              </w:rPr>
            </w:pPr>
            <w:r>
              <w:rPr>
                <w:rFonts w:hint="eastAsia" w:ascii="宋体" w:hAnsi="宋体"/>
                <w:kern w:val="0"/>
                <w:sz w:val="20"/>
                <w:szCs w:val="20"/>
              </w:rPr>
              <w:t>企业</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szCs w:val="21"/>
              </w:rPr>
            </w:pPr>
            <w:r>
              <w:rPr>
                <w:rFonts w:hint="eastAsia" w:ascii="宋体" w:hAnsi="宋体"/>
                <w:kern w:val="0"/>
                <w:sz w:val="20"/>
                <w:szCs w:val="20"/>
              </w:rPr>
              <w:t>科研</w:t>
            </w:r>
          </w:p>
          <w:p>
            <w:pPr>
              <w:widowControl/>
              <w:jc w:val="center"/>
              <w:rPr>
                <w:rFonts w:ascii="Calibri" w:hAnsi="Calibri" w:eastAsia="宋体"/>
                <w:szCs w:val="21"/>
              </w:rPr>
            </w:pPr>
            <w:r>
              <w:rPr>
                <w:rFonts w:hint="eastAsia" w:ascii="宋体" w:hAnsi="宋体"/>
                <w:kern w:val="0"/>
                <w:sz w:val="20"/>
                <w:szCs w:val="20"/>
              </w:rPr>
              <w:t>机构</w:t>
            </w:r>
          </w:p>
        </w:tc>
        <w:tc>
          <w:tcPr>
            <w:tcW w:w="69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kern w:val="0"/>
                <w:sz w:val="20"/>
                <w:szCs w:val="20"/>
              </w:rPr>
              <w:t>社会公益组织</w:t>
            </w:r>
          </w:p>
        </w:tc>
        <w:tc>
          <w:tcPr>
            <w:tcW w:w="695"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kern w:val="0"/>
                <w:sz w:val="20"/>
                <w:szCs w:val="20"/>
              </w:rPr>
              <w:t>法律服务机构</w:t>
            </w:r>
          </w:p>
        </w:tc>
        <w:tc>
          <w:tcPr>
            <w:tcW w:w="69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ascii="宋体" w:hAnsi="宋体"/>
                <w:kern w:val="0"/>
                <w:sz w:val="20"/>
                <w:szCs w:val="20"/>
              </w:rPr>
              <w:t>其他</w:t>
            </w:r>
          </w:p>
        </w:tc>
        <w:tc>
          <w:tcPr>
            <w:tcW w:w="0" w:type="auto"/>
            <w:vMerge w:val="continue"/>
            <w:tcBorders>
              <w:top w:val="single" w:color="auto" w:sz="8" w:space="0"/>
              <w:left w:val="nil"/>
              <w:bottom w:val="inset" w:color="auto" w:sz="8" w:space="0"/>
              <w:right w:val="single" w:color="auto" w:sz="8" w:space="0"/>
            </w:tcBorders>
            <w:vAlign w:val="center"/>
          </w:tcPr>
          <w:p>
            <w:pPr>
              <w:widowControl/>
              <w:jc w:val="left"/>
              <w:rPr>
                <w:rFonts w:ascii="Calibri" w:hAnsi="Calibri" w:eastAsia="宋体"/>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498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一、本年新收政府信息公开申请数量</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二、上年结转政府信息公开申请数量</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三、本年度办理结果</w:t>
            </w:r>
          </w:p>
        </w:tc>
        <w:tc>
          <w:tcPr>
            <w:tcW w:w="421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（一）予以公开</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8"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421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（二）部分公开</w:t>
            </w:r>
            <w:r>
              <w:rPr>
                <w:rFonts w:hint="eastAsia" w:ascii="楷体" w:hAnsi="楷体" w:eastAsia="楷体"/>
                <w:kern w:val="0"/>
                <w:sz w:val="20"/>
                <w:szCs w:val="20"/>
              </w:rPr>
              <w:t>（区分处理的，只计这一情形，不计其他情形）</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95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（三）不予公开</w:t>
            </w: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1.属于国家秘密</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single" w:color="auto" w:sz="8" w:space="0"/>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2.其他法律行政法规禁止公开</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3.危及“三安全一稳定”</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4.保护第三方合法权益</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5.属于三类内部事务信息</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6.属于四类过程性信息</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7.属于行政执法案卷</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8.属于行政查询事项</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95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（四）无法提供</w:t>
            </w: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1.本机关不掌握相关政府信息</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2.没有现成信息需要另行制作</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3.补正后申请内容仍不明确</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95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（五）不予处理</w:t>
            </w: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1.信访举报投诉类申请</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2.重复申请</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3.要求提供公开出版物</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tcPr>
          <w:p>
            <w:pPr>
              <w:widowControl/>
              <w:jc w:val="left"/>
              <w:rPr>
                <w:rFonts w:ascii="Calibri" w:hAnsi="Calibri" w:eastAsia="宋体"/>
                <w:szCs w:val="21"/>
              </w:rPr>
            </w:pPr>
            <w:r>
              <w:rPr>
                <w:rFonts w:hint="eastAsia" w:ascii="宋体" w:hAnsi="宋体"/>
                <w:kern w:val="0"/>
                <w:sz w:val="20"/>
                <w:szCs w:val="20"/>
              </w:rPr>
              <w:t>4.无正当理由大量反复申请</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rPr>
                <w:rFonts w:ascii="Calibri" w:hAnsi="Calibri" w:eastAsia="宋体"/>
                <w:szCs w:val="21"/>
              </w:rPr>
            </w:pPr>
            <w:r>
              <w:rPr>
                <w:rFonts w:hint="eastAsia" w:ascii="宋体" w:hAnsi="宋体"/>
                <w:kern w:val="0"/>
                <w:sz w:val="20"/>
                <w:szCs w:val="20"/>
              </w:rPr>
              <w:t>5.要求行政机关确认或重新出具已获取信息</w:t>
            </w:r>
          </w:p>
        </w:tc>
        <w:tc>
          <w:tcPr>
            <w:tcW w:w="695"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p>
        </w:tc>
        <w:tc>
          <w:tcPr>
            <w:tcW w:w="695"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9"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p>
        </w:tc>
        <w:tc>
          <w:tcPr>
            <w:tcW w:w="698" w:type="dxa"/>
            <w:tcBorders>
              <w:top w:val="nil"/>
              <w:left w:val="nil"/>
              <w:bottom w:val="inset"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95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（六）其他处理</w:t>
            </w:r>
          </w:p>
        </w:tc>
        <w:tc>
          <w:tcPr>
            <w:tcW w:w="325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Calibri" w:hAnsi="Calibri" w:eastAsia="宋体"/>
                <w:szCs w:val="21"/>
              </w:rPr>
            </w:pPr>
            <w:r>
              <w:rPr>
                <w:rFonts w:hint="eastAsia" w:ascii="宋体" w:hAnsi="宋体"/>
                <w:kern w:val="0"/>
                <w:sz w:val="20"/>
                <w:szCs w:val="20"/>
              </w:rPr>
              <w:t>1.申请人无正当理由逾期不补正、行政机关不再处理其政府信息公开申请</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rPr>
                <w:rFonts w:ascii="Calibri" w:hAnsi="Calibri" w:eastAsia="宋体"/>
                <w:szCs w:val="21"/>
              </w:rPr>
            </w:pPr>
            <w:r>
              <w:rPr>
                <w:rFonts w:hint="eastAsia" w:ascii="宋体" w:hAnsi="宋体"/>
                <w:kern w:val="0"/>
                <w:sz w:val="20"/>
                <w:szCs w:val="20"/>
              </w:rPr>
              <w:t>2.申请人逾期未按收费通知要求缴纳费用、行政机关不再处理其政府信息公开申请</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inset" w:color="auto" w:sz="8" w:space="0"/>
              <w:right w:val="single" w:color="auto" w:sz="8" w:space="0"/>
            </w:tcBorders>
            <w:vAlign w:val="center"/>
          </w:tcPr>
          <w:p>
            <w:pPr>
              <w:widowControl/>
              <w:jc w:val="left"/>
              <w:rPr>
                <w:rFonts w:ascii="Calibri" w:hAnsi="Calibri" w:eastAsia="宋体"/>
                <w:szCs w:val="21"/>
              </w:rPr>
            </w:pPr>
          </w:p>
        </w:tc>
        <w:tc>
          <w:tcPr>
            <w:tcW w:w="325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3.其他</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jc w:val="left"/>
              <w:rPr>
                <w:rFonts w:ascii="Calibri" w:hAnsi="Calibri" w:eastAsia="宋体"/>
                <w:szCs w:val="21"/>
              </w:rPr>
            </w:pPr>
          </w:p>
        </w:tc>
        <w:tc>
          <w:tcPr>
            <w:tcW w:w="421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（七）总计</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987"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jc w:val="left"/>
              <w:rPr>
                <w:rFonts w:ascii="Calibri" w:hAnsi="Calibri" w:eastAsia="宋体"/>
                <w:szCs w:val="21"/>
              </w:rPr>
            </w:pPr>
            <w:r>
              <w:rPr>
                <w:rFonts w:hint="eastAsia" w:ascii="宋体" w:hAnsi="宋体"/>
                <w:kern w:val="0"/>
                <w:sz w:val="20"/>
                <w:szCs w:val="20"/>
              </w:rPr>
              <w:t>四、结转下年度继续办理</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5"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cs="Calibri"/>
                <w:kern w:val="0"/>
                <w:sz w:val="20"/>
                <w:szCs w:val="20"/>
              </w:rPr>
              <w:t> </w:t>
            </w:r>
            <w:r>
              <w:rPr>
                <w:rFonts w:hint="eastAsia" w:cs="Calibri"/>
                <w:kern w:val="0"/>
                <w:sz w:val="20"/>
                <w:szCs w:val="20"/>
              </w:rPr>
              <w:t>0</w:t>
            </w:r>
          </w:p>
        </w:tc>
        <w:tc>
          <w:tcPr>
            <w:tcW w:w="69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jc w:val="center"/>
              <w:rPr>
                <w:rFonts w:ascii="Calibri" w:hAnsi="Calibri" w:eastAsia="宋体"/>
                <w:szCs w:val="21"/>
              </w:rPr>
            </w:pPr>
            <w:r>
              <w:rPr>
                <w:rFonts w:hint="eastAsia" w:cs="Calibri"/>
                <w:kern w:val="0"/>
                <w:sz w:val="20"/>
                <w:szCs w:val="20"/>
              </w:rPr>
              <w:t>0</w:t>
            </w:r>
            <w:r>
              <w:rPr>
                <w:rFonts w:cs="Calibri"/>
                <w:kern w:val="0"/>
                <w:sz w:val="20"/>
                <w:szCs w:val="20"/>
              </w:rPr>
              <w:t> </w:t>
            </w:r>
          </w:p>
        </w:tc>
        <w:tc>
          <w:tcPr>
            <w:tcW w:w="698" w:type="dxa"/>
            <w:tcBorders>
              <w:top w:val="nil"/>
              <w:left w:val="nil"/>
              <w:bottom w:val="single" w:color="auto" w:sz="8" w:space="0"/>
              <w:right w:val="single" w:color="auto" w:sz="8" w:space="0"/>
            </w:tcBorders>
            <w:tcMar>
              <w:top w:w="0" w:type="dxa"/>
              <w:left w:w="57" w:type="dxa"/>
              <w:bottom w:w="0" w:type="dxa"/>
              <w:right w:w="57" w:type="dxa"/>
            </w:tcMar>
          </w:tcPr>
          <w:p>
            <w:pPr>
              <w:rPr>
                <w:rFonts w:ascii="宋体" w:hAnsi="Calibri" w:eastAsia="宋体"/>
                <w:sz w:val="24"/>
                <w:szCs w:val="24"/>
              </w:rPr>
            </w:pPr>
            <w:r>
              <w:rPr>
                <w:rFonts w:hint="eastAsia" w:ascii="宋体" w:hAnsi="Calibri" w:eastAsia="宋体"/>
                <w:sz w:val="24"/>
                <w:szCs w:val="24"/>
              </w:rPr>
              <w:t>0</w:t>
            </w:r>
          </w:p>
        </w:tc>
      </w:tr>
    </w:tbl>
    <w:p>
      <w:pPr>
        <w:widowControl/>
        <w:shd w:val="clear" w:color="auto" w:fill="FFFFFF"/>
        <w:rPr>
          <w:rFonts w:hint="eastAsia" w:ascii="宋体" w:hAnsi="宋体" w:cs="Times New Roman"/>
          <w:color w:val="333333"/>
          <w:sz w:val="24"/>
          <w:szCs w:val="24"/>
        </w:rPr>
      </w:pPr>
      <w:r>
        <w:rPr>
          <w:rFonts w:hint="eastAsia" w:ascii="宋体" w:hAnsi="宋体"/>
          <w:color w:val="333333"/>
          <w:sz w:val="24"/>
          <w:szCs w:val="24"/>
        </w:rPr>
        <w:t xml:space="preserve"> </w:t>
      </w:r>
    </w:p>
    <w:p>
      <w:pPr>
        <w:pStyle w:val="3"/>
        <w:shd w:val="clear" w:color="auto" w:fill="FFFFFF"/>
        <w:spacing w:before="0" w:beforeAutospacing="0" w:after="0" w:afterAutospacing="0"/>
        <w:ind w:firstLine="420"/>
        <w:jc w:val="both"/>
        <w:rPr>
          <w:rFonts w:hint="eastAsia"/>
          <w:color w:val="333333"/>
        </w:rPr>
      </w:pPr>
      <w:r>
        <w:rPr>
          <w:rFonts w:hint="eastAsia"/>
          <w:b/>
          <w:color w:val="333333"/>
          <w:shd w:val="clear" w:color="auto" w:fill="FFFFFF"/>
        </w:rPr>
        <w:t>四、政府信息公开行政复议、行政诉讼情况</w:t>
      </w:r>
    </w:p>
    <w:tbl>
      <w:tblPr>
        <w:tblStyle w:val="4"/>
        <w:tblW w:w="961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0"/>
        <w:gridCol w:w="640"/>
        <w:gridCol w:w="640"/>
        <w:gridCol w:w="640"/>
        <w:gridCol w:w="642"/>
        <w:gridCol w:w="640"/>
        <w:gridCol w:w="640"/>
        <w:gridCol w:w="641"/>
        <w:gridCol w:w="641"/>
        <w:gridCol w:w="643"/>
        <w:gridCol w:w="642"/>
        <w:gridCol w:w="642"/>
        <w:gridCol w:w="642"/>
        <w:gridCol w:w="642"/>
        <w:gridCol w:w="64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3202"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行政复议</w:t>
            </w:r>
          </w:p>
        </w:tc>
        <w:tc>
          <w:tcPr>
            <w:tcW w:w="641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640"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结果维持</w:t>
            </w:r>
          </w:p>
        </w:tc>
        <w:tc>
          <w:tcPr>
            <w:tcW w:w="640"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结果</w:t>
            </w:r>
            <w:r>
              <w:rPr>
                <w:rFonts w:hint="eastAsia" w:ascii="宋体" w:hAnsi="宋体"/>
                <w:kern w:val="0"/>
                <w:sz w:val="20"/>
                <w:szCs w:val="20"/>
              </w:rPr>
              <w:br w:type="textWrapping"/>
            </w:r>
            <w:r>
              <w:rPr>
                <w:rFonts w:hint="eastAsia" w:ascii="宋体" w:hAnsi="宋体"/>
                <w:kern w:val="0"/>
                <w:sz w:val="20"/>
                <w:szCs w:val="20"/>
              </w:rPr>
              <w:t>纠正</w:t>
            </w:r>
          </w:p>
        </w:tc>
        <w:tc>
          <w:tcPr>
            <w:tcW w:w="64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其他</w:t>
            </w:r>
            <w:r>
              <w:rPr>
                <w:rFonts w:hint="eastAsia" w:ascii="宋体" w:hAnsi="宋体"/>
                <w:kern w:val="0"/>
                <w:sz w:val="20"/>
                <w:szCs w:val="20"/>
              </w:rPr>
              <w:br w:type="textWrapping"/>
            </w:r>
            <w:r>
              <w:rPr>
                <w:rFonts w:hint="eastAsia" w:ascii="宋体" w:hAnsi="宋体"/>
                <w:kern w:val="0"/>
                <w:sz w:val="20"/>
                <w:szCs w:val="20"/>
              </w:rPr>
              <w:t>结果</w:t>
            </w:r>
          </w:p>
        </w:tc>
        <w:tc>
          <w:tcPr>
            <w:tcW w:w="640"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尚未</w:t>
            </w:r>
            <w:r>
              <w:rPr>
                <w:rFonts w:hint="eastAsia" w:ascii="宋体" w:hAnsi="宋体"/>
                <w:kern w:val="0"/>
                <w:sz w:val="20"/>
                <w:szCs w:val="20"/>
              </w:rPr>
              <w:br w:type="textWrapping"/>
            </w:r>
            <w:r>
              <w:rPr>
                <w:rFonts w:hint="eastAsia" w:ascii="宋体" w:hAnsi="宋体"/>
                <w:kern w:val="0"/>
                <w:sz w:val="20"/>
                <w:szCs w:val="20"/>
              </w:rPr>
              <w:t>审结</w:t>
            </w:r>
          </w:p>
        </w:tc>
        <w:tc>
          <w:tcPr>
            <w:tcW w:w="64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总计</w:t>
            </w:r>
          </w:p>
        </w:tc>
        <w:tc>
          <w:tcPr>
            <w:tcW w:w="3205"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未经复议直接起诉</w:t>
            </w:r>
          </w:p>
        </w:tc>
        <w:tc>
          <w:tcPr>
            <w:tcW w:w="3212"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nil"/>
              <w:left w:val="nil"/>
              <w:bottom w:val="single"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szCs w:val="21"/>
              </w:rPr>
            </w:pPr>
          </w:p>
        </w:tc>
        <w:tc>
          <w:tcPr>
            <w:tcW w:w="0" w:type="auto"/>
            <w:vMerge w:val="continue"/>
            <w:tcBorders>
              <w:top w:val="single" w:color="auto" w:sz="8" w:space="0"/>
              <w:left w:val="nil"/>
              <w:bottom w:val="single" w:color="auto" w:sz="8" w:space="0"/>
              <w:right w:val="single" w:color="auto" w:sz="8" w:space="0"/>
            </w:tcBorders>
            <w:vAlign w:val="center"/>
          </w:tcPr>
          <w:p>
            <w:pPr>
              <w:widowControl/>
              <w:jc w:val="left"/>
              <w:rPr>
                <w:rFonts w:ascii="Calibri" w:hAnsi="Calibri" w:eastAsia="宋体"/>
                <w:szCs w:val="21"/>
              </w:rPr>
            </w:pPr>
          </w:p>
        </w:tc>
        <w:tc>
          <w:tcPr>
            <w:tcW w:w="6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结果</w:t>
            </w:r>
            <w:r>
              <w:rPr>
                <w:rFonts w:hint="eastAsia" w:ascii="宋体" w:hAnsi="宋体"/>
                <w:kern w:val="0"/>
                <w:sz w:val="20"/>
                <w:szCs w:val="20"/>
              </w:rPr>
              <w:br w:type="textWrapping"/>
            </w:r>
            <w:r>
              <w:rPr>
                <w:rFonts w:hint="eastAsia" w:ascii="宋体" w:hAnsi="宋体"/>
                <w:kern w:val="0"/>
                <w:sz w:val="20"/>
                <w:szCs w:val="20"/>
              </w:rPr>
              <w:t>维持</w:t>
            </w:r>
          </w:p>
        </w:tc>
        <w:tc>
          <w:tcPr>
            <w:tcW w:w="6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结果</w:t>
            </w:r>
            <w:r>
              <w:rPr>
                <w:rFonts w:hint="eastAsia" w:ascii="宋体" w:hAnsi="宋体"/>
                <w:kern w:val="0"/>
                <w:sz w:val="20"/>
                <w:szCs w:val="20"/>
              </w:rPr>
              <w:br w:type="textWrapping"/>
            </w:r>
            <w:r>
              <w:rPr>
                <w:rFonts w:hint="eastAsia" w:ascii="宋体" w:hAnsi="宋体"/>
                <w:kern w:val="0"/>
                <w:sz w:val="20"/>
                <w:szCs w:val="20"/>
              </w:rPr>
              <w:t>纠正</w:t>
            </w:r>
          </w:p>
        </w:tc>
        <w:tc>
          <w:tcPr>
            <w:tcW w:w="6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其他</w:t>
            </w:r>
            <w:r>
              <w:rPr>
                <w:rFonts w:hint="eastAsia" w:ascii="宋体" w:hAnsi="宋体"/>
                <w:kern w:val="0"/>
                <w:sz w:val="20"/>
                <w:szCs w:val="20"/>
              </w:rPr>
              <w:br w:type="textWrapping"/>
            </w:r>
            <w:r>
              <w:rPr>
                <w:rFonts w:hint="eastAsia" w:ascii="宋体" w:hAnsi="宋体"/>
                <w:kern w:val="0"/>
                <w:sz w:val="20"/>
                <w:szCs w:val="20"/>
              </w:rPr>
              <w:t>结果</w:t>
            </w:r>
          </w:p>
        </w:tc>
        <w:tc>
          <w:tcPr>
            <w:tcW w:w="6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尚未</w:t>
            </w:r>
            <w:r>
              <w:rPr>
                <w:rFonts w:hint="eastAsia" w:ascii="宋体" w:hAnsi="宋体"/>
                <w:kern w:val="0"/>
                <w:sz w:val="20"/>
                <w:szCs w:val="20"/>
              </w:rPr>
              <w:br w:type="textWrapping"/>
            </w:r>
            <w:r>
              <w:rPr>
                <w:rFonts w:hint="eastAsia" w:ascii="宋体" w:hAnsi="宋体"/>
                <w:kern w:val="0"/>
                <w:sz w:val="20"/>
                <w:szCs w:val="20"/>
              </w:rPr>
              <w:t>审结</w:t>
            </w:r>
          </w:p>
        </w:tc>
        <w:tc>
          <w:tcPr>
            <w:tcW w:w="64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color w:val="000000"/>
                <w:kern w:val="0"/>
                <w:sz w:val="20"/>
                <w:szCs w:val="20"/>
              </w:rPr>
              <w:t>总计</w:t>
            </w:r>
          </w:p>
        </w:tc>
        <w:tc>
          <w:tcPr>
            <w:tcW w:w="6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结果</w:t>
            </w:r>
            <w:r>
              <w:rPr>
                <w:rFonts w:hint="eastAsia" w:ascii="宋体" w:hAnsi="宋体"/>
                <w:kern w:val="0"/>
                <w:sz w:val="20"/>
                <w:szCs w:val="20"/>
              </w:rPr>
              <w:br w:type="textWrapping"/>
            </w:r>
            <w:r>
              <w:rPr>
                <w:rFonts w:hint="eastAsia" w:ascii="宋体" w:hAnsi="宋体"/>
                <w:kern w:val="0"/>
                <w:sz w:val="20"/>
                <w:szCs w:val="20"/>
              </w:rPr>
              <w:t>维持</w:t>
            </w:r>
          </w:p>
        </w:tc>
        <w:tc>
          <w:tcPr>
            <w:tcW w:w="6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结果</w:t>
            </w:r>
            <w:r>
              <w:rPr>
                <w:rFonts w:hint="eastAsia" w:ascii="宋体" w:hAnsi="宋体"/>
                <w:kern w:val="0"/>
                <w:sz w:val="20"/>
                <w:szCs w:val="20"/>
              </w:rPr>
              <w:br w:type="textWrapping"/>
            </w:r>
            <w:r>
              <w:rPr>
                <w:rFonts w:hint="eastAsia" w:ascii="宋体" w:hAnsi="宋体"/>
                <w:kern w:val="0"/>
                <w:sz w:val="20"/>
                <w:szCs w:val="20"/>
              </w:rPr>
              <w:t>纠正</w:t>
            </w:r>
          </w:p>
        </w:tc>
        <w:tc>
          <w:tcPr>
            <w:tcW w:w="6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color w:val="000000"/>
                <w:kern w:val="0"/>
                <w:sz w:val="20"/>
                <w:szCs w:val="20"/>
              </w:rPr>
              <w:t>其他</w:t>
            </w:r>
            <w:r>
              <w:rPr>
                <w:rFonts w:hint="eastAsia" w:ascii="宋体" w:hAnsi="宋体"/>
                <w:color w:val="000000"/>
                <w:kern w:val="0"/>
                <w:sz w:val="20"/>
                <w:szCs w:val="20"/>
              </w:rPr>
              <w:br w:type="textWrapping"/>
            </w:r>
            <w:r>
              <w:rPr>
                <w:rFonts w:hint="eastAsia" w:ascii="宋体" w:hAnsi="宋体"/>
                <w:color w:val="000000"/>
                <w:kern w:val="0"/>
                <w:sz w:val="20"/>
                <w:szCs w:val="20"/>
              </w:rPr>
              <w:t>结果</w:t>
            </w:r>
          </w:p>
        </w:tc>
        <w:tc>
          <w:tcPr>
            <w:tcW w:w="6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尚未</w:t>
            </w:r>
            <w:r>
              <w:rPr>
                <w:rFonts w:hint="eastAsia" w:ascii="宋体" w:hAnsi="宋体"/>
                <w:kern w:val="0"/>
                <w:sz w:val="20"/>
                <w:szCs w:val="20"/>
              </w:rPr>
              <w:br w:type="textWrapping"/>
            </w:r>
            <w:r>
              <w:rPr>
                <w:rFonts w:hint="eastAsia" w:ascii="宋体" w:hAnsi="宋体"/>
                <w:kern w:val="0"/>
                <w:sz w:val="20"/>
                <w:szCs w:val="20"/>
              </w:rPr>
              <w:t>审结</w:t>
            </w:r>
          </w:p>
        </w:tc>
        <w:tc>
          <w:tcPr>
            <w:tcW w:w="64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color w:val="000000"/>
                <w:kern w:val="0"/>
                <w:sz w:val="20"/>
                <w:szCs w:val="20"/>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858" w:hRule="atLeast"/>
          <w:jc w:val="center"/>
        </w:trPr>
        <w:tc>
          <w:tcPr>
            <w:tcW w:w="64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黑体" w:hAnsi="宋体" w:eastAsia="黑体"/>
                <w:kern w:val="0"/>
                <w:sz w:val="20"/>
                <w:szCs w:val="20"/>
              </w:rPr>
              <w:t> 0</w:t>
            </w:r>
          </w:p>
        </w:tc>
        <w:tc>
          <w:tcPr>
            <w:tcW w:w="6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 0</w:t>
            </w:r>
          </w:p>
        </w:tc>
        <w:tc>
          <w:tcPr>
            <w:tcW w:w="6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 0</w:t>
            </w:r>
          </w:p>
        </w:tc>
        <w:tc>
          <w:tcPr>
            <w:tcW w:w="6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0 </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 0</w:t>
            </w:r>
          </w:p>
        </w:tc>
        <w:tc>
          <w:tcPr>
            <w:tcW w:w="6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 0</w:t>
            </w:r>
          </w:p>
        </w:tc>
        <w:tc>
          <w:tcPr>
            <w:tcW w:w="640"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0 </w:t>
            </w:r>
          </w:p>
        </w:tc>
        <w:tc>
          <w:tcPr>
            <w:tcW w:w="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 0</w:t>
            </w:r>
          </w:p>
        </w:tc>
        <w:tc>
          <w:tcPr>
            <w:tcW w:w="64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0 </w:t>
            </w:r>
          </w:p>
        </w:tc>
        <w:tc>
          <w:tcPr>
            <w:tcW w:w="643"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 0</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 0</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0</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 0</w:t>
            </w:r>
          </w:p>
        </w:tc>
        <w:tc>
          <w:tcPr>
            <w:tcW w:w="642"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center"/>
              <w:rPr>
                <w:rFonts w:ascii="Calibri" w:hAnsi="Calibri" w:eastAsia="宋体"/>
                <w:szCs w:val="21"/>
              </w:rPr>
            </w:pPr>
            <w:r>
              <w:rPr>
                <w:rFonts w:hint="eastAsia" w:ascii="宋体" w:hAnsi="宋体"/>
                <w:kern w:val="0"/>
                <w:sz w:val="20"/>
                <w:szCs w:val="20"/>
              </w:rPr>
              <w:t> 0</w:t>
            </w:r>
          </w:p>
        </w:tc>
        <w:tc>
          <w:tcPr>
            <w:tcW w:w="644" w:type="dxa"/>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宋体" w:hAnsi="Calibri" w:eastAsia="宋体"/>
                <w:sz w:val="24"/>
                <w:szCs w:val="24"/>
              </w:rPr>
            </w:pPr>
            <w:r>
              <w:rPr>
                <w:rFonts w:hint="eastAsia" w:ascii="宋体" w:hAnsi="Calibri" w:eastAsia="宋体"/>
                <w:sz w:val="24"/>
                <w:szCs w:val="24"/>
              </w:rPr>
              <w:t>0</w:t>
            </w:r>
          </w:p>
        </w:tc>
      </w:tr>
    </w:tbl>
    <w:p>
      <w:pPr>
        <w:pStyle w:val="3"/>
        <w:shd w:val="clear" w:color="auto" w:fill="FFFFFF"/>
        <w:spacing w:before="0" w:beforeAutospacing="0" w:after="0" w:afterAutospacing="0" w:line="555" w:lineRule="atLeast"/>
        <w:ind w:firstLine="645"/>
        <w:jc w:val="both"/>
        <w:rPr>
          <w:rFonts w:ascii="微软雅黑" w:hAnsi="微软雅黑" w:eastAsia="微软雅黑"/>
          <w:color w:val="333333"/>
        </w:rPr>
      </w:pPr>
      <w:r>
        <w:t xml:space="preserve"> </w:t>
      </w:r>
      <w:r>
        <w:rPr>
          <w:rFonts w:hint="eastAsia" w:ascii="黑体" w:hAnsi="黑体" w:eastAsia="黑体"/>
          <w:color w:val="333333"/>
          <w:sz w:val="32"/>
          <w:szCs w:val="32"/>
        </w:rPr>
        <w:t>五、存在的主要问题及改进情况</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2022年，我局在政府信息公开工作上取得了一定的成效，总体来看运行状况较好，但距市政府的要求、群众的期盼还有差距，仍需进一步完善和提高。具体表现在：</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一是对新修订的《政府信息公开条例》学习还不够透彻，不够深入。</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二是对政府信息公开工作认识有待进一步增强，主动公开内容还有待进一步充实和完善。</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三是信息更新还不够及时有力。</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针对存在的问题，我局将从以下方面进行积极改进：</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一是加大信息公开法规制度的学习力度，认真组织学习新修订的《政府信息公开条例》，强化干部职工政务信息公开责任意识。</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二是积极推进一般事项公开向重点事项公开、结果公开向全过程公开转变，进一步提高政务信息公开的质量。</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三是坚持把群众最关心、最需要了解的事项公开作为政务公开的重点，严格按照《条例》要求公开工作内容，确保完整、及时、准确地向社会公开政府信息。</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w:t>
      </w:r>
    </w:p>
    <w:p>
      <w:pPr>
        <w:widowControl/>
        <w:shd w:val="clear" w:color="auto" w:fill="FFFFFF"/>
        <w:spacing w:line="450" w:lineRule="atLeast"/>
        <w:ind w:firstLine="4480" w:firstLineChars="1400"/>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侯马市农业农村局      </w:t>
      </w:r>
    </w:p>
    <w:p>
      <w:pPr>
        <w:widowControl/>
        <w:shd w:val="clear" w:color="auto" w:fill="FFFFFF"/>
        <w:spacing w:line="450" w:lineRule="atLeast"/>
        <w:ind w:firstLine="645"/>
        <w:rPr>
          <w:rFonts w:hint="eastAsia" w:ascii="仿宋_GB2312" w:hAnsi="微软雅黑" w:eastAsia="仿宋_GB2312" w:cs="宋体"/>
          <w:color w:val="333333"/>
          <w:kern w:val="0"/>
          <w:sz w:val="32"/>
          <w:szCs w:val="32"/>
        </w:rPr>
      </w:pPr>
      <w:r>
        <w:rPr>
          <w:rFonts w:hint="eastAsia" w:ascii="仿宋_GB2312" w:hAnsi="微软雅黑" w:eastAsia="仿宋_GB2312" w:cs="宋体"/>
          <w:color w:val="333333"/>
          <w:kern w:val="0"/>
          <w:sz w:val="32"/>
          <w:szCs w:val="32"/>
        </w:rPr>
        <w:t xml:space="preserve">                         </w:t>
      </w:r>
      <w:bookmarkStart w:id="0" w:name="_GoBack"/>
      <w:bookmarkEnd w:id="0"/>
      <w:r>
        <w:rPr>
          <w:rFonts w:hint="eastAsia" w:ascii="仿宋_GB2312" w:hAnsi="微软雅黑" w:eastAsia="仿宋_GB2312" w:cs="宋体"/>
          <w:color w:val="333333"/>
          <w:kern w:val="0"/>
          <w:sz w:val="32"/>
          <w:szCs w:val="32"/>
        </w:rPr>
        <w:t xml:space="preserve">2023年1月16日 </w:t>
      </w:r>
    </w:p>
    <w:p>
      <w:pPr>
        <w:widowControl/>
        <w:jc w:val="left"/>
        <w:rPr>
          <w:rFonts w:hint="eastAsia" w:ascii="Calibri" w:hAnsi="Calibri" w:cs="Times New Roman"/>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楷体_GB2312">
    <w:panose1 w:val="02010609030101010101"/>
    <w:charset w:val="86"/>
    <w:family w:val="modern"/>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M5ODY5OTRkZGE2ZTc5YzYxYzJjMzQ2YTU4ZDk0ZTIifQ=="/>
  </w:docVars>
  <w:rsids>
    <w:rsidRoot w:val="00563A56"/>
    <w:rsid w:val="00055562"/>
    <w:rsid w:val="00223754"/>
    <w:rsid w:val="00425D1C"/>
    <w:rsid w:val="00563A56"/>
    <w:rsid w:val="007E619E"/>
    <w:rsid w:val="00BC3FE3"/>
    <w:rsid w:val="00BE4F7F"/>
    <w:rsid w:val="114C3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1 Char"/>
    <w:basedOn w:val="5"/>
    <w:link w:val="2"/>
    <w:uiPriority w:val="9"/>
    <w:rPr>
      <w:rFonts w:ascii="宋体" w:hAnsi="宋体" w:eastAsia="宋体" w:cs="宋体"/>
      <w:b/>
      <w:bCs/>
      <w:kern w:val="36"/>
      <w:sz w:val="48"/>
      <w:szCs w:val="48"/>
    </w:rPr>
  </w:style>
  <w:style w:type="character" w:customStyle="1" w:styleId="8">
    <w:name w:val="font"/>
    <w:basedOn w:val="5"/>
    <w:uiPriority w:val="0"/>
  </w:style>
  <w:style w:type="character" w:customStyle="1" w:styleId="9">
    <w:name w:val="bigger"/>
    <w:basedOn w:val="5"/>
    <w:uiPriority w:val="0"/>
  </w:style>
  <w:style w:type="character" w:customStyle="1" w:styleId="10">
    <w:name w:val="medium"/>
    <w:basedOn w:val="5"/>
    <w:uiPriority w:val="0"/>
  </w:style>
  <w:style w:type="character" w:customStyle="1" w:styleId="11">
    <w:name w:val="smaller"/>
    <w:basedOn w:val="5"/>
    <w:uiPriority w:val="0"/>
  </w:style>
  <w:style w:type="character" w:customStyle="1" w:styleId="12">
    <w:name w:val="gwds_more"/>
    <w:basedOn w:val="5"/>
    <w:uiPriority w:val="0"/>
  </w:style>
  <w:style w:type="character" w:customStyle="1" w:styleId="13">
    <w:name w:val="15"/>
    <w:basedOn w:val="5"/>
    <w:uiPriority w:val="0"/>
    <w:rPr>
      <w:rFonts w:hint="default" w:ascii="Calibri" w:hAnsi="Calibri" w:cs="Calibri"/>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1770</Words>
  <Characters>1809</Characters>
  <Lines>17</Lines>
  <Paragraphs>4</Paragraphs>
  <TotalTime>41</TotalTime>
  <ScaleCrop>false</ScaleCrop>
  <LinksUpToDate>false</LinksUpToDate>
  <CharactersWithSpaces>2038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2023-01-18T02:38:00Z</dcterms:created>
  <dc:creator>DELL</dc:creator>
  <cp:lastModifiedBy>DELL</cp:lastModifiedBy>
  <cp:lastPrinted>2023-01-18T03:22:00Z</cp:lastPrinted>
  <dcterms:modified xsi:type="dcterms:W3CDTF">2023-01-18T03:23:02Z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C0E7FC5C52BC4903AE3398054CAC091B</vt:lpwstr>
  </property>
</Properties>
</file>