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宋体" w:hAnsi="宋体" w:eastAsia="宋体" w:cs="宋体"/>
          <w:b/>
          <w:bCs/>
          <w:i w:val="0"/>
          <w:iCs w:val="0"/>
          <w:caps w:val="0"/>
          <w:color w:val="333333"/>
          <w:spacing w:val="0"/>
          <w:sz w:val="36"/>
          <w:szCs w:val="36"/>
          <w:shd w:val="clear" w:fill="FFFFFF"/>
        </w:rPr>
      </w:pPr>
      <w:r>
        <w:rPr>
          <w:rFonts w:hint="eastAsia" w:ascii="宋体" w:hAnsi="宋体" w:eastAsia="宋体" w:cs="宋体"/>
          <w:b/>
          <w:bCs/>
          <w:i w:val="0"/>
          <w:iCs w:val="0"/>
          <w:caps w:val="0"/>
          <w:color w:val="333333"/>
          <w:spacing w:val="0"/>
          <w:sz w:val="36"/>
          <w:szCs w:val="36"/>
          <w:shd w:val="clear" w:fill="FFFFFF"/>
        </w:rPr>
        <w:t>国家税务总局</w:t>
      </w:r>
      <w:r>
        <w:rPr>
          <w:rFonts w:hint="eastAsia" w:cs="宋体"/>
          <w:b/>
          <w:bCs/>
          <w:i w:val="0"/>
          <w:iCs w:val="0"/>
          <w:caps w:val="0"/>
          <w:color w:val="333333"/>
          <w:spacing w:val="0"/>
          <w:sz w:val="36"/>
          <w:szCs w:val="36"/>
          <w:shd w:val="clear" w:fill="FFFFFF"/>
          <w:lang w:val="en-US" w:eastAsia="zh-CN"/>
        </w:rPr>
        <w:t>侯马市</w:t>
      </w:r>
      <w:r>
        <w:rPr>
          <w:rFonts w:hint="eastAsia" w:ascii="宋体" w:hAnsi="宋体" w:eastAsia="宋体" w:cs="宋体"/>
          <w:b/>
          <w:bCs/>
          <w:i w:val="0"/>
          <w:iCs w:val="0"/>
          <w:caps w:val="0"/>
          <w:color w:val="333333"/>
          <w:spacing w:val="0"/>
          <w:sz w:val="36"/>
          <w:szCs w:val="36"/>
          <w:shd w:val="clear" w:fill="FFFFFF"/>
        </w:rPr>
        <w:t>税务局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宋体" w:hAnsi="宋体" w:eastAsia="宋体" w:cs="宋体"/>
          <w:i w:val="0"/>
          <w:caps w:val="0"/>
          <w:color w:val="333333"/>
          <w:spacing w:val="0"/>
          <w:sz w:val="24"/>
          <w:szCs w:val="24"/>
        </w:rPr>
      </w:pPr>
      <w:r>
        <w:rPr>
          <w:rFonts w:hint="eastAsia" w:ascii="宋体" w:hAnsi="宋体" w:cs="宋体"/>
          <w:b/>
          <w:i w:val="0"/>
          <w:caps w:val="0"/>
          <w:color w:val="333333"/>
          <w:spacing w:val="0"/>
          <w:sz w:val="36"/>
          <w:szCs w:val="36"/>
          <w:shd w:val="clear" w:color="auto" w:fill="FFFFFF"/>
          <w:lang w:val="en-US" w:eastAsia="zh-CN"/>
        </w:rPr>
        <w:t>2022年</w:t>
      </w:r>
      <w:r>
        <w:rPr>
          <w:rFonts w:hint="eastAsia" w:ascii="宋体" w:hAnsi="宋体" w:eastAsia="宋体" w:cs="宋体"/>
          <w:b/>
          <w:i w:val="0"/>
          <w:caps w:val="0"/>
          <w:color w:val="333333"/>
          <w:spacing w:val="0"/>
          <w:sz w:val="36"/>
          <w:szCs w:val="36"/>
          <w:shd w:val="clear" w:color="auto" w:fill="FFFFFF"/>
        </w:rPr>
        <w:t>政府信息公开工作年度报告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caps w:val="0"/>
          <w:color w:val="333333"/>
          <w:spacing w:val="0"/>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eastAsia" w:ascii="宋体" w:hAnsi="宋体" w:eastAsia="宋体" w:cs="宋体"/>
          <w:b/>
          <w:i w:val="0"/>
          <w:caps w:val="0"/>
          <w:color w:val="333333"/>
          <w:spacing w:val="0"/>
          <w:sz w:val="24"/>
          <w:szCs w:val="24"/>
          <w:shd w:val="clear" w:color="auto" w:fill="FFFFFF"/>
        </w:rPr>
      </w:pPr>
      <w:r>
        <w:rPr>
          <w:rFonts w:hint="eastAsia" w:ascii="仿宋_GB2312" w:hAnsi="仿宋_GB2312" w:eastAsia="仿宋_GB2312" w:cs="仿宋_GB2312"/>
          <w:i w:val="0"/>
          <w:caps w:val="0"/>
          <w:color w:val="272D34"/>
          <w:spacing w:val="0"/>
          <w:kern w:val="2"/>
          <w:sz w:val="32"/>
          <w:szCs w:val="32"/>
          <w:shd w:val="clear" w:fill="FFFFFF"/>
          <w:lang w:val="en-US" w:eastAsia="zh-CN" w:bidi="ar-SA"/>
        </w:rPr>
        <w:t>根据《中华人民共和国政府信息公开条例》，特向社会公布2022年国家税务总局侯马市税务局政府信息公开年度报告。本年度报告由总体情况、主动公开政府信息情况、收到和处理政府信息公开申请情况、行政复议和行政诉讼情况、存在的主要问题和改进措施、其他需要报告的事项等部分组成，报告中所列数据的统计期限为2022年1月1日至2022年12月31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一、总体情况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left"/>
        <w:rPr>
          <w:rFonts w:hint="eastAsia" w:ascii="仿宋_GB2312" w:hAnsi="仿宋_GB2312" w:eastAsia="仿宋_GB2312" w:cs="仿宋_GB2312"/>
          <w:i w:val="0"/>
          <w:caps w:val="0"/>
          <w:color w:val="272D34"/>
          <w:spacing w:val="0"/>
          <w:kern w:val="2"/>
          <w:sz w:val="32"/>
          <w:szCs w:val="32"/>
          <w:shd w:val="clear" w:fill="FFFFFF"/>
          <w:lang w:val="en-US" w:eastAsia="zh-CN" w:bidi="ar-SA"/>
        </w:rPr>
      </w:pPr>
      <w:r>
        <w:rPr>
          <w:rFonts w:hint="eastAsia" w:ascii="仿宋_GB2312" w:hAnsi="仿宋_GB2312" w:eastAsia="仿宋_GB2312" w:cs="仿宋_GB2312"/>
          <w:i w:val="0"/>
          <w:caps w:val="0"/>
          <w:color w:val="272D34"/>
          <w:spacing w:val="0"/>
          <w:kern w:val="2"/>
          <w:sz w:val="32"/>
          <w:szCs w:val="32"/>
          <w:shd w:val="clear" w:fill="FFFFFF"/>
          <w:lang w:val="en-US" w:eastAsia="zh-CN" w:bidi="ar-SA"/>
        </w:rPr>
        <w:t>2022年,国家税务总局侯马市税务局以习近平新时代中国特色社会主义思想为指导，深入贯彻落实党的二十大精神，按照国家税务总局临汾市税务局和侯马市委、市政府的有关工作部署，严格落实工作要求，紧紧围绕税务中心工作，聚集纳税人关切，全面推进决策、执行、管理、服务和结果公开。</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left"/>
        <w:rPr>
          <w:rFonts w:hint="eastAsia" w:ascii="仿宋_GB2312" w:hAnsi="仿宋_GB2312" w:eastAsia="仿宋_GB2312" w:cs="仿宋_GB2312"/>
          <w:i w:val="0"/>
          <w:caps w:val="0"/>
          <w:color w:val="272D34"/>
          <w:spacing w:val="0"/>
          <w:kern w:val="2"/>
          <w:sz w:val="32"/>
          <w:szCs w:val="32"/>
          <w:shd w:val="clear" w:fill="FFFFFF"/>
          <w:lang w:val="en-US" w:eastAsia="zh-CN" w:bidi="ar-SA"/>
        </w:rPr>
      </w:pPr>
      <w:r>
        <w:rPr>
          <w:rFonts w:hint="eastAsia" w:ascii="仿宋_GB2312" w:hAnsi="仿宋_GB2312" w:eastAsia="仿宋_GB2312" w:cs="仿宋_GB2312"/>
          <w:i w:val="0"/>
          <w:caps w:val="0"/>
          <w:color w:val="272D34"/>
          <w:spacing w:val="0"/>
          <w:kern w:val="2"/>
          <w:sz w:val="32"/>
          <w:szCs w:val="32"/>
          <w:shd w:val="clear" w:fill="FFFFFF"/>
          <w:lang w:val="en-US" w:eastAsia="zh-CN" w:bidi="ar-SA"/>
        </w:rPr>
        <w:t>（一）主动公开情况。坚持“公开为原则，不公开为例外”，在认真抓好信息审查审核的基础上，做到应公开尽公开。全年主动公开信息包括：262户纳税信用等级A级纳税人名单及相关信息、1068户非正常户认定公告、1户委托代征公告、3户享受安置残疾人增值税优惠政策纳税人信息公告、外部媒体宣传8条。</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_GB2312" w:eastAsia="仿宋_GB2312" w:cs="仿宋_GB2312"/>
          <w:i w:val="0"/>
          <w:caps w:val="0"/>
          <w:color w:val="272D34"/>
          <w:spacing w:val="0"/>
          <w:kern w:val="2"/>
          <w:sz w:val="32"/>
          <w:szCs w:val="32"/>
          <w:shd w:val="clear" w:fill="FFFFFF"/>
          <w:lang w:val="en-US" w:eastAsia="zh-CN" w:bidi="ar-SA"/>
        </w:rPr>
      </w:pPr>
      <w:r>
        <w:rPr>
          <w:rFonts w:hint="eastAsia" w:ascii="仿宋_GB2312" w:hAnsi="仿宋_GB2312" w:eastAsia="仿宋_GB2312" w:cs="仿宋_GB2312"/>
          <w:i w:val="0"/>
          <w:caps w:val="0"/>
          <w:color w:val="272D34"/>
          <w:spacing w:val="0"/>
          <w:kern w:val="2"/>
          <w:sz w:val="32"/>
          <w:szCs w:val="32"/>
          <w:shd w:val="clear" w:fill="FFFFFF"/>
          <w:lang w:val="en-US" w:eastAsia="zh-CN" w:bidi="ar-SA"/>
        </w:rPr>
        <w:t>（二）依申请公开情况。侯马市税务局严格按照政府信息公开工作的规定要求，不断提升“依申请公开”规范化水平，2022年，我局未接到任何单位及个人的信息公开申请事项。</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_GB2312" w:eastAsia="仿宋_GB2312" w:cs="仿宋_GB2312"/>
          <w:i w:val="0"/>
          <w:caps w:val="0"/>
          <w:color w:val="272D34"/>
          <w:spacing w:val="0"/>
          <w:kern w:val="2"/>
          <w:sz w:val="32"/>
          <w:szCs w:val="32"/>
          <w:shd w:val="clear" w:fill="FFFFFF"/>
          <w:lang w:val="en-US" w:eastAsia="zh-CN" w:bidi="ar-SA"/>
        </w:rPr>
      </w:pPr>
      <w:r>
        <w:rPr>
          <w:rFonts w:hint="eastAsia" w:ascii="仿宋_GB2312" w:hAnsi="仿宋_GB2312" w:eastAsia="仿宋_GB2312" w:cs="仿宋_GB2312"/>
          <w:i w:val="0"/>
          <w:caps w:val="0"/>
          <w:color w:val="272D34"/>
          <w:spacing w:val="0"/>
          <w:kern w:val="2"/>
          <w:sz w:val="32"/>
          <w:szCs w:val="32"/>
          <w:shd w:val="clear" w:fill="FFFFFF"/>
          <w:lang w:val="en-US" w:eastAsia="zh-CN" w:bidi="ar-SA"/>
        </w:rPr>
        <w:t>（三）政府信息管理。对日常工作交流、涉税工作信息等操作流程进行规范管理，切实保障信息安全。完善政府信息制作和审查发布流程，加强对文件公开选项的审核，加强规范性文件管理，对不予公开的政府信息定期进行审查评估，对因情势变化可以公开的政府信息予以公开。充分利用“征纳互动”平台、“临汾税务”微信公众号等媒介，对税收政策、办税流程等内容进行公开宣传和推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caps w:val="0"/>
          <w:color w:val="272D34"/>
          <w:spacing w:val="0"/>
          <w:kern w:val="2"/>
          <w:sz w:val="32"/>
          <w:szCs w:val="32"/>
          <w:shd w:val="clear" w:fill="FFFFFF"/>
          <w:lang w:val="en-US" w:eastAsia="zh-CN" w:bidi="ar-SA"/>
        </w:rPr>
      </w:pPr>
      <w:r>
        <w:rPr>
          <w:rFonts w:hint="eastAsia" w:ascii="仿宋_GB2312" w:hAnsi="仿宋_GB2312" w:eastAsia="仿宋_GB2312" w:cs="仿宋_GB2312"/>
          <w:i w:val="0"/>
          <w:caps w:val="0"/>
          <w:color w:val="272D34"/>
          <w:spacing w:val="0"/>
          <w:kern w:val="2"/>
          <w:sz w:val="32"/>
          <w:szCs w:val="32"/>
          <w:shd w:val="clear" w:fill="FFFFFF"/>
          <w:lang w:val="en-US" w:eastAsia="zh-CN" w:bidi="ar-SA"/>
        </w:rPr>
        <w:t>（四）政府信息公开平台建设。一是加强组织领导，将政府信息公开工作与其它业务工作同部署、同落实、同督促，明确责任部门和责任人，明确信息公开联络员，及时关注网上公开信息发布情况，将政府信息公开工作纳入制度化、规范化轨道。二是全力配合临汾市局，积极做好相关信息的动态更新和维护，建设好侯马市税务局专属板块，同时借鉴兄弟单位的好做法，收集新情况，总结新经验。三是按照相关要求，稳步拓宽政务公开内容范围，将信息公开网站打造成税收普法新平台，提升政务公开实效。</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272D34"/>
          <w:spacing w:val="0"/>
          <w:kern w:val="2"/>
          <w:sz w:val="32"/>
          <w:szCs w:val="32"/>
          <w:shd w:val="clear" w:fill="FFFFFF"/>
          <w:lang w:val="en-US" w:eastAsia="zh-CN" w:bidi="ar-SA"/>
        </w:rPr>
      </w:pPr>
      <w:r>
        <w:rPr>
          <w:rFonts w:hint="eastAsia" w:ascii="仿宋_GB2312" w:hAnsi="仿宋_GB2312" w:eastAsia="仿宋_GB2312" w:cs="仿宋_GB2312"/>
          <w:i w:val="0"/>
          <w:caps w:val="0"/>
          <w:color w:val="272D34"/>
          <w:spacing w:val="0"/>
          <w:kern w:val="2"/>
          <w:sz w:val="32"/>
          <w:szCs w:val="32"/>
          <w:shd w:val="clear" w:fill="FFFFFF"/>
          <w:lang w:val="en-US" w:eastAsia="zh-CN" w:bidi="ar-SA"/>
        </w:rPr>
        <w:t>（五）监督保障。建立政务信息公开长效机制，建立信息发布保密审查机制，明确审查程序和责任，专人负责政府信息公开的日常工作，做到及时更新信息，并对发布的政务信息进行审核把关，加强政务公开工作的常态化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二、主动公开政府信息情况</w:t>
      </w:r>
    </w:p>
    <w:tbl>
      <w:tblPr>
        <w:tblStyle w:val="4"/>
        <w:tblW w:w="92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320"/>
        <w:gridCol w:w="2320"/>
        <w:gridCol w:w="2320"/>
        <w:gridCol w:w="2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928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320"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320"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320"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3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ascii="宋体" w:hAnsi="宋体" w:eastAsia="宋体" w:cs="宋体"/>
                <w:color w:val="000000"/>
                <w:kern w:val="0"/>
                <w:sz w:val="20"/>
                <w:szCs w:val="20"/>
                <w:lang w:val="en-US" w:eastAsia="zh-CN" w:bidi="ar"/>
              </w:rPr>
              <w:t>0</w:t>
            </w:r>
          </w:p>
        </w:tc>
        <w:tc>
          <w:tcPr>
            <w:tcW w:w="23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ascii="宋体" w:hAnsi="宋体" w:eastAsia="宋体" w:cs="宋体"/>
                <w:color w:val="000000"/>
                <w:kern w:val="0"/>
                <w:sz w:val="20"/>
                <w:szCs w:val="20"/>
                <w:lang w:val="en-US" w:eastAsia="zh-CN" w:bidi="ar"/>
              </w:rPr>
              <w:t>0</w:t>
            </w:r>
          </w:p>
        </w:tc>
        <w:tc>
          <w:tcPr>
            <w:tcW w:w="23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3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ascii="宋体" w:hAnsi="宋体" w:eastAsia="宋体" w:cs="宋体"/>
                <w:color w:val="000000"/>
                <w:kern w:val="0"/>
                <w:sz w:val="20"/>
                <w:szCs w:val="20"/>
                <w:lang w:val="en-US" w:eastAsia="zh-CN" w:bidi="ar"/>
              </w:rPr>
              <w:t>0</w:t>
            </w:r>
          </w:p>
        </w:tc>
        <w:tc>
          <w:tcPr>
            <w:tcW w:w="23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ascii="宋体" w:hAnsi="宋体" w:eastAsia="宋体" w:cs="宋体"/>
                <w:color w:val="000000"/>
                <w:kern w:val="0"/>
                <w:sz w:val="20"/>
                <w:szCs w:val="20"/>
                <w:lang w:val="en-US" w:eastAsia="zh-CN" w:bidi="ar"/>
              </w:rPr>
              <w:t>0</w:t>
            </w:r>
          </w:p>
        </w:tc>
        <w:tc>
          <w:tcPr>
            <w:tcW w:w="23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928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6960"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6960"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1"/>
                <w:szCs w:val="21"/>
                <w:lang w:val="en-US" w:eastAsia="zh-CN" w:bidi="ar"/>
              </w:rPr>
              <w:t>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928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6960"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6960"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ascii="宋体" w:hAnsi="宋体" w:eastAsia="宋体" w:cs="宋体"/>
                <w:color w:val="000000"/>
                <w:kern w:val="0"/>
                <w:sz w:val="20"/>
                <w:szCs w:val="20"/>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6960"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cs="Times New Roman" w:eastAsiaTheme="minorEastAsia"/>
                <w:kern w:val="2"/>
                <w:sz w:val="21"/>
                <w:szCs w:val="24"/>
                <w:lang w:val="en-US" w:eastAsia="zh-CN" w:bidi="ar-S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928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6960"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8" w:hRule="atLeast"/>
          <w:jc w:val="center"/>
        </w:trPr>
        <w:tc>
          <w:tcPr>
            <w:tcW w:w="232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6960"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b/>
          <w:i w:val="0"/>
          <w:caps w:val="0"/>
          <w:color w:val="333333"/>
          <w:spacing w:val="0"/>
          <w:sz w:val="24"/>
          <w:szCs w:val="24"/>
          <w:shd w:val="clear" w:color="auto" w:fill="FFFFFF"/>
        </w:rPr>
        <w:sectPr>
          <w:pgSz w:w="11906" w:h="16838"/>
          <w:pgMar w:top="1440" w:right="1800" w:bottom="1440" w:left="1800" w:header="851" w:footer="992" w:gutter="0"/>
          <w:cols w:space="425" w:num="1"/>
          <w:docGrid w:type="lines" w:linePitch="312" w:charSpace="0"/>
        </w:sect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bookmarkStart w:id="0" w:name="_GoBack"/>
      <w:bookmarkEnd w:id="0"/>
      <w:r>
        <w:rPr>
          <w:rFonts w:hint="eastAsia" w:ascii="宋体" w:hAnsi="宋体" w:eastAsia="宋体" w:cs="宋体"/>
          <w:b/>
          <w:i w:val="0"/>
          <w:caps w:val="0"/>
          <w:color w:val="333333"/>
          <w:spacing w:val="0"/>
          <w:sz w:val="24"/>
          <w:szCs w:val="24"/>
          <w:shd w:val="clear" w:color="auto" w:fill="FFFFFF"/>
        </w:rPr>
        <w:t>三、收到和处理政府信息公开申请情况</w:t>
      </w:r>
    </w:p>
    <w:tbl>
      <w:tblPr>
        <w:tblStyle w:val="4"/>
        <w:tblW w:w="985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76"/>
        <w:gridCol w:w="953"/>
        <w:gridCol w:w="3258"/>
        <w:gridCol w:w="695"/>
        <w:gridCol w:w="695"/>
        <w:gridCol w:w="695"/>
        <w:gridCol w:w="695"/>
        <w:gridCol w:w="695"/>
        <w:gridCol w:w="699"/>
        <w:gridCol w:w="69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4987"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72"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4987"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95"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79"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98"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02" w:hRule="atLeast"/>
          <w:jc w:val="center"/>
        </w:trPr>
        <w:tc>
          <w:tcPr>
            <w:tcW w:w="4987"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95" w:type="dxa"/>
            <w:vMerge w:val="continue"/>
            <w:tcBorders>
              <w:top w:val="nil"/>
              <w:left w:val="nil"/>
              <w:bottom w:val="single" w:color="auto" w:sz="8" w:space="0"/>
              <w:right w:val="single" w:color="auto" w:sz="8" w:space="0"/>
            </w:tcBorders>
            <w:noWrap w:val="0"/>
            <w:tcMar>
              <w:left w:w="57" w:type="dxa"/>
              <w:right w:w="57" w:type="dxa"/>
            </w:tcMar>
            <w:vAlign w:val="center"/>
          </w:tcPr>
          <w:p>
            <w:pPr>
              <w:rPr>
                <w:rFonts w:hint="eastAsia" w:ascii="宋体"/>
                <w:sz w:val="24"/>
                <w:szCs w:val="24"/>
              </w:rPr>
            </w:pP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9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9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99"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98"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7" w:hRule="atLeast"/>
          <w:jc w:val="center"/>
        </w:trPr>
        <w:tc>
          <w:tcPr>
            <w:tcW w:w="4987"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4987"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Calibri"/>
                <w:kern w:val="0"/>
                <w:sz w:val="20"/>
                <w:szCs w:val="20"/>
                <w:lang w:val="en-US" w:eastAsia="zh-CN" w:bidi="ar"/>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211"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Calibri"/>
                <w:kern w:val="0"/>
                <w:sz w:val="20"/>
                <w:szCs w:val="20"/>
                <w:lang w:val="en-US" w:eastAsia="zh-CN" w:bidi="ar"/>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211"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Calibri"/>
                <w:kern w:val="0"/>
                <w:sz w:val="20"/>
                <w:szCs w:val="20"/>
                <w:lang w:val="en-US" w:eastAsia="zh-CN" w:bidi="ar"/>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Calibri"/>
                <w:kern w:val="0"/>
                <w:sz w:val="20"/>
                <w:szCs w:val="20"/>
                <w:lang w:val="en-US" w:eastAsia="zh-CN" w:bidi="ar"/>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Calibri"/>
                <w:kern w:val="0"/>
                <w:sz w:val="20"/>
                <w:szCs w:val="20"/>
                <w:lang w:val="en-US" w:eastAsia="zh-CN" w:bidi="ar"/>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Calibri"/>
                <w:kern w:val="0"/>
                <w:sz w:val="20"/>
                <w:szCs w:val="20"/>
                <w:lang w:val="en-US" w:eastAsia="zh-CN" w:bidi="ar"/>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Calibri"/>
                <w:kern w:val="0"/>
                <w:sz w:val="20"/>
                <w:szCs w:val="20"/>
                <w:lang w:val="en-US" w:eastAsia="zh-CN" w:bidi="ar"/>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Calibri"/>
                <w:kern w:val="0"/>
                <w:sz w:val="20"/>
                <w:szCs w:val="20"/>
                <w:lang w:val="en-US" w:eastAsia="zh-CN" w:bidi="ar"/>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Calibri"/>
                <w:kern w:val="0"/>
                <w:sz w:val="20"/>
                <w:szCs w:val="20"/>
                <w:lang w:val="en-US" w:eastAsia="zh-CN" w:bidi="ar"/>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Calibri"/>
                <w:kern w:val="0"/>
                <w:sz w:val="20"/>
                <w:szCs w:val="20"/>
                <w:lang w:val="en-US" w:eastAsia="zh-CN" w:bidi="ar"/>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Calibri"/>
                <w:kern w:val="0"/>
                <w:sz w:val="20"/>
                <w:szCs w:val="20"/>
                <w:lang w:val="en-US" w:eastAsia="zh-CN" w:bidi="ar"/>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Calibri"/>
                <w:kern w:val="0"/>
                <w:sz w:val="20"/>
                <w:szCs w:val="20"/>
                <w:lang w:val="en-US" w:eastAsia="zh-CN" w:bidi="ar"/>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Calibri"/>
                <w:kern w:val="0"/>
                <w:sz w:val="20"/>
                <w:szCs w:val="20"/>
                <w:lang w:val="en-US" w:eastAsia="zh-CN" w:bidi="ar"/>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Calibri"/>
                <w:kern w:val="0"/>
                <w:sz w:val="20"/>
                <w:szCs w:val="20"/>
                <w:lang w:val="en-US" w:eastAsia="zh-CN" w:bidi="ar"/>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Calibri"/>
                <w:kern w:val="0"/>
                <w:sz w:val="20"/>
                <w:szCs w:val="20"/>
                <w:lang w:val="en-US" w:eastAsia="zh-CN" w:bidi="ar"/>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Calibri"/>
                <w:kern w:val="0"/>
                <w:sz w:val="20"/>
                <w:szCs w:val="20"/>
                <w:lang w:val="en-US" w:eastAsia="zh-CN" w:bidi="ar"/>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Calibri"/>
                <w:kern w:val="0"/>
                <w:sz w:val="20"/>
                <w:szCs w:val="20"/>
                <w:lang w:val="en-US" w:eastAsia="zh-CN" w:bidi="ar"/>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37"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95"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9"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02"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5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02"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5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Calibri"/>
                <w:kern w:val="0"/>
                <w:sz w:val="20"/>
                <w:szCs w:val="20"/>
                <w:lang w:val="en-US" w:eastAsia="zh-CN" w:bidi="ar"/>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776"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211"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Calibri"/>
                <w:kern w:val="0"/>
                <w:sz w:val="20"/>
                <w:szCs w:val="20"/>
                <w:lang w:val="en-US" w:eastAsia="zh-CN" w:bidi="ar"/>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9" w:hRule="atLeast"/>
          <w:jc w:val="center"/>
        </w:trPr>
        <w:tc>
          <w:tcPr>
            <w:tcW w:w="4987"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Calibri"/>
                <w:kern w:val="0"/>
                <w:sz w:val="20"/>
                <w:szCs w:val="20"/>
                <w:lang w:val="en-US" w:eastAsia="zh-CN" w:bidi="ar"/>
              </w:rPr>
            </w:pPr>
            <w:r>
              <w:rPr>
                <w:rFonts w:hint="eastAsia" w:ascii="Calibri" w:hAnsi="Calibri" w:cs="Calibri"/>
                <w:kern w:val="0"/>
                <w:sz w:val="20"/>
                <w:szCs w:val="2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宋体" w:hAnsi="宋体" w:eastAsia="宋体" w:cs="宋体"/>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四、政府信息公开行政复议、行政诉讼情况</w:t>
      </w:r>
    </w:p>
    <w:tbl>
      <w:tblPr>
        <w:tblStyle w:val="4"/>
        <w:tblW w:w="961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0"/>
        <w:gridCol w:w="640"/>
        <w:gridCol w:w="640"/>
        <w:gridCol w:w="640"/>
        <w:gridCol w:w="642"/>
        <w:gridCol w:w="640"/>
        <w:gridCol w:w="640"/>
        <w:gridCol w:w="641"/>
        <w:gridCol w:w="641"/>
        <w:gridCol w:w="643"/>
        <w:gridCol w:w="642"/>
        <w:gridCol w:w="642"/>
        <w:gridCol w:w="642"/>
        <w:gridCol w:w="642"/>
        <w:gridCol w:w="6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0" w:hRule="atLeast"/>
          <w:jc w:val="center"/>
        </w:trPr>
        <w:tc>
          <w:tcPr>
            <w:tcW w:w="3202"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17"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0" w:hRule="atLeast"/>
          <w:jc w:val="center"/>
        </w:trPr>
        <w:tc>
          <w:tcPr>
            <w:tcW w:w="640"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0"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0"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0"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0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2"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6" w:hRule="atLeast"/>
          <w:jc w:val="center"/>
        </w:trPr>
        <w:tc>
          <w:tcPr>
            <w:tcW w:w="640"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0"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8" w:hRule="atLeast"/>
          <w:jc w:val="center"/>
        </w:trPr>
        <w:tc>
          <w:tcPr>
            <w:tcW w:w="64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4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4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4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4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40" w:type="dxa"/>
            <w:tcBorders>
              <w:top w:val="nil"/>
              <w:left w:val="single" w:color="auto" w:sz="8" w:space="0"/>
              <w:bottom w:val="single" w:color="auto" w:sz="8" w:space="0"/>
              <w:right w:val="single" w:color="auto" w:sz="8" w:space="0"/>
            </w:tcBorders>
            <w:noWrap w:val="0"/>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uto"/>
              <w:ind w:left="0" w:leftChars="0" w:right="0" w:rightChars="0"/>
              <w:jc w:val="center"/>
              <w:rPr>
                <w:rFonts w:hint="default" w:ascii="Calibri" w:hAnsi="Calibri" w:eastAsia="宋体" w:cs="Calibri"/>
                <w:kern w:val="0"/>
                <w:sz w:val="20"/>
                <w:szCs w:val="20"/>
                <w:lang w:val="en-US" w:eastAsia="zh-CN" w:bidi="ar"/>
              </w:rPr>
            </w:pPr>
            <w:r>
              <w:rPr>
                <w:rFonts w:hint="eastAsia" w:ascii="Calibri" w:hAnsi="Calibri" w:cs="Calibri"/>
                <w:kern w:val="0"/>
                <w:sz w:val="20"/>
                <w:szCs w:val="20"/>
                <w:lang w:val="en-US" w:eastAsia="zh-CN" w:bidi="ar"/>
              </w:rPr>
              <w:t>0</w:t>
            </w:r>
          </w:p>
        </w:tc>
        <w:tc>
          <w:tcPr>
            <w:tcW w:w="64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4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uto"/>
              <w:ind w:left="0" w:leftChars="0" w:right="0" w:rightChars="0"/>
              <w:jc w:val="center"/>
              <w:rPr>
                <w:rFonts w:hint="default" w:ascii="Calibri" w:hAnsi="Calibri" w:eastAsia="宋体" w:cs="Calibri"/>
                <w:kern w:val="0"/>
                <w:sz w:val="20"/>
                <w:szCs w:val="20"/>
                <w:lang w:val="en-US" w:eastAsia="zh-CN" w:bidi="ar"/>
              </w:rPr>
            </w:pPr>
            <w:r>
              <w:rPr>
                <w:rFonts w:hint="eastAsia" w:ascii="Calibri" w:hAnsi="Calibri" w:cs="Calibri"/>
                <w:kern w:val="0"/>
                <w:sz w:val="20"/>
                <w:szCs w:val="20"/>
                <w:lang w:val="en-US" w:eastAsia="zh-CN" w:bidi="ar"/>
              </w:rPr>
              <w:t>0</w:t>
            </w:r>
          </w:p>
        </w:tc>
        <w:tc>
          <w:tcPr>
            <w:tcW w:w="644"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宋体" w:eastAsia="宋体"/>
                <w:sz w:val="24"/>
                <w:szCs w:val="24"/>
                <w:lang w:val="en-US" w:eastAsia="zh-CN"/>
              </w:rPr>
            </w:pPr>
            <w:r>
              <w:rPr>
                <w:rFonts w:hint="eastAsia" w:ascii="Calibri" w:hAnsi="Calibri" w:cs="Calibri"/>
                <w:kern w:val="0"/>
                <w:sz w:val="20"/>
                <w:szCs w:val="20"/>
                <w:lang w:val="en-US" w:eastAsia="zh-CN" w:bidi="ar"/>
              </w:rPr>
              <w:t>0</w:t>
            </w:r>
          </w:p>
        </w:tc>
      </w:tr>
    </w:tbl>
    <w:p>
      <w:pPr>
        <w:keepNext w:val="0"/>
        <w:keepLines w:val="0"/>
        <w:widowControl/>
        <w:suppressLineNumbers w:val="0"/>
        <w:jc w:val="left"/>
      </w:pPr>
    </w:p>
    <w:p>
      <w:pPr>
        <w:pStyle w:val="3"/>
        <w:keepNext w:val="0"/>
        <w:keepLines w:val="0"/>
        <w:widowControl/>
        <w:suppressLineNumbers w:val="0"/>
        <w:spacing w:after="0" w:afterAutospacing="0" w:line="240" w:lineRule="auto"/>
        <w:ind w:left="0" w:firstLine="418"/>
        <w:jc w:val="both"/>
      </w:pPr>
      <w:r>
        <w:rPr>
          <w:rStyle w:val="6"/>
          <w:rFonts w:hint="eastAsia" w:ascii="宋体" w:hAnsi="宋体" w:eastAsia="宋体" w:cs="宋体"/>
          <w:i w:val="0"/>
          <w:spacing w:val="0"/>
          <w:sz w:val="24"/>
          <w:szCs w:val="24"/>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caps w:val="0"/>
          <w:color w:val="272D34"/>
          <w:spacing w:val="0"/>
          <w:kern w:val="2"/>
          <w:sz w:val="32"/>
          <w:szCs w:val="32"/>
          <w:shd w:val="clear" w:fill="FFFFFF"/>
          <w:lang w:val="en-US" w:eastAsia="zh-CN" w:bidi="ar-SA"/>
        </w:rPr>
      </w:pPr>
      <w:r>
        <w:rPr>
          <w:rFonts w:hint="eastAsia" w:ascii="仿宋_GB2312" w:hAnsi="仿宋_GB2312" w:eastAsia="仿宋_GB2312" w:cs="仿宋_GB2312"/>
          <w:i w:val="0"/>
          <w:caps w:val="0"/>
          <w:color w:val="272D34"/>
          <w:spacing w:val="0"/>
          <w:kern w:val="2"/>
          <w:sz w:val="32"/>
          <w:szCs w:val="32"/>
          <w:shd w:val="clear" w:fill="FFFFFF"/>
          <w:lang w:val="en-US" w:eastAsia="zh-CN" w:bidi="ar-SA"/>
        </w:rPr>
        <w:t>（一）存在的主要问题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caps w:val="0"/>
          <w:color w:val="272D34"/>
          <w:spacing w:val="0"/>
          <w:kern w:val="2"/>
          <w:sz w:val="32"/>
          <w:szCs w:val="32"/>
          <w:shd w:val="clear" w:fill="FFFFFF"/>
          <w:lang w:val="en-US" w:eastAsia="zh-CN" w:bidi="ar-SA"/>
        </w:rPr>
      </w:pPr>
      <w:r>
        <w:rPr>
          <w:rFonts w:hint="eastAsia" w:ascii="仿宋_GB2312" w:hAnsi="仿宋_GB2312" w:eastAsia="仿宋_GB2312" w:cs="仿宋_GB2312"/>
          <w:i w:val="0"/>
          <w:caps w:val="0"/>
          <w:color w:val="272D34"/>
          <w:spacing w:val="0"/>
          <w:kern w:val="2"/>
          <w:sz w:val="32"/>
          <w:szCs w:val="32"/>
          <w:shd w:val="clear" w:fill="FFFFFF"/>
          <w:lang w:val="en-US" w:eastAsia="zh-CN" w:bidi="ar-SA"/>
        </w:rPr>
        <w:t>2022年我局政府信息公开取得了一定成效，运行平稳且日益完善，但仍存在一些不足。一是工作动态、公示信息更新不够及时，公开内容的细化需进一步加强。二是政府信息公开队伍整体的专业化、理论化水平还有待进一步提升，对政策的把握能力不强，处理公开具体工作中复杂问题办法不多，一定程度上制约了政府信息公开工作的深入推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caps w:val="0"/>
          <w:color w:val="272D34"/>
          <w:spacing w:val="0"/>
          <w:kern w:val="2"/>
          <w:sz w:val="32"/>
          <w:szCs w:val="32"/>
          <w:shd w:val="clear" w:fill="FFFFFF"/>
          <w:lang w:val="en-US" w:eastAsia="zh-CN" w:bidi="ar-SA"/>
        </w:rPr>
      </w:pPr>
      <w:r>
        <w:rPr>
          <w:rFonts w:hint="eastAsia" w:ascii="仿宋_GB2312" w:hAnsi="仿宋_GB2312" w:eastAsia="仿宋_GB2312" w:cs="仿宋_GB2312"/>
          <w:i w:val="0"/>
          <w:caps w:val="0"/>
          <w:color w:val="272D34"/>
          <w:spacing w:val="0"/>
          <w:kern w:val="2"/>
          <w:sz w:val="32"/>
          <w:szCs w:val="32"/>
          <w:shd w:val="clear" w:fill="FFFFFF"/>
          <w:lang w:val="en-US" w:eastAsia="zh-CN" w:bidi="ar-SA"/>
        </w:rPr>
        <w:t>（二）改进情况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caps w:val="0"/>
          <w:color w:val="272D34"/>
          <w:spacing w:val="0"/>
          <w:kern w:val="2"/>
          <w:sz w:val="32"/>
          <w:szCs w:val="32"/>
          <w:shd w:val="clear" w:fill="FFFFFF"/>
          <w:lang w:val="en-US" w:eastAsia="zh-CN" w:bidi="ar-SA"/>
        </w:rPr>
      </w:pPr>
      <w:r>
        <w:rPr>
          <w:rFonts w:hint="eastAsia" w:ascii="仿宋_GB2312" w:hAnsi="仿宋_GB2312" w:eastAsia="仿宋_GB2312" w:cs="仿宋_GB2312"/>
          <w:i w:val="0"/>
          <w:caps w:val="0"/>
          <w:color w:val="272D34"/>
          <w:spacing w:val="0"/>
          <w:kern w:val="2"/>
          <w:sz w:val="32"/>
          <w:szCs w:val="32"/>
          <w:shd w:val="clear" w:fill="FFFFFF"/>
          <w:lang w:val="en-US" w:eastAsia="zh-CN" w:bidi="ar-SA"/>
        </w:rPr>
        <w:t>一是进一步丰富政府信息公开形式。努力探索信息公开的新途径、新渠道，利用网站、公告栏、微信公众号等多种形式进行信息公开，扩大社会知晓面，不断提高社会对政府信息公开工作的满意度。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caps w:val="0"/>
          <w:color w:val="272D34"/>
          <w:spacing w:val="0"/>
          <w:kern w:val="2"/>
          <w:sz w:val="32"/>
          <w:szCs w:val="32"/>
          <w:shd w:val="clear" w:fill="FFFFFF"/>
          <w:lang w:val="en-US" w:eastAsia="zh-CN" w:bidi="ar-SA"/>
        </w:rPr>
      </w:pPr>
      <w:r>
        <w:rPr>
          <w:rFonts w:hint="eastAsia" w:ascii="仿宋_GB2312" w:hAnsi="仿宋_GB2312" w:eastAsia="仿宋_GB2312" w:cs="仿宋_GB2312"/>
          <w:i w:val="0"/>
          <w:caps w:val="0"/>
          <w:color w:val="272D34"/>
          <w:spacing w:val="0"/>
          <w:kern w:val="2"/>
          <w:sz w:val="32"/>
          <w:szCs w:val="32"/>
          <w:shd w:val="clear" w:fill="FFFFFF"/>
          <w:lang w:val="en-US" w:eastAsia="zh-CN" w:bidi="ar-SA"/>
        </w:rPr>
        <w:t>二是加大政府信息公开培训力度。举办政府信息公开培训班，做好组织培训，提高政府信息公开队伍整体的专业化水平，切实增强信息公开队伍发布信息、解读政策、回应关切的能力。</w:t>
      </w:r>
    </w:p>
    <w:p>
      <w:pPr>
        <w:pStyle w:val="3"/>
        <w:keepNext w:val="0"/>
        <w:keepLines w:val="0"/>
        <w:widowControl/>
        <w:suppressLineNumbers w:val="0"/>
        <w:spacing w:after="0" w:afterAutospacing="0" w:line="240" w:lineRule="auto"/>
        <w:ind w:left="0" w:firstLine="418"/>
        <w:jc w:val="both"/>
      </w:pPr>
      <w:r>
        <w:rPr>
          <w:rStyle w:val="6"/>
          <w:rFonts w:hint="eastAsia" w:ascii="宋体" w:hAnsi="宋体" w:eastAsia="宋体" w:cs="宋体"/>
          <w:i w:val="0"/>
          <w:spacing w:val="0"/>
          <w:sz w:val="24"/>
          <w:szCs w:val="24"/>
        </w:rPr>
        <w:t>六、其他需要报告的事项</w:t>
      </w:r>
    </w:p>
    <w:p>
      <w:pPr>
        <w:ind w:firstLine="640" w:firstLineChars="200"/>
      </w:pPr>
      <w:r>
        <w:rPr>
          <w:rFonts w:hint="eastAsia" w:ascii="仿宋_GB2312" w:hAnsi="仿宋_GB2312" w:eastAsia="仿宋_GB2312" w:cs="仿宋_GB2312"/>
          <w:i w:val="0"/>
          <w:caps w:val="0"/>
          <w:color w:val="272D34"/>
          <w:spacing w:val="0"/>
          <w:kern w:val="2"/>
          <w:sz w:val="32"/>
          <w:szCs w:val="32"/>
          <w:shd w:val="clear" w:fill="FFFFFF"/>
          <w:lang w:val="en-US" w:eastAsia="zh-CN" w:bidi="ar-SA"/>
        </w:rPr>
        <w:t>本年度没有产生信息公开处理费。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lYWE4MTliMWI1ZWJhMTg5MDUzZTU2NGQ3YmJiNWMifQ=="/>
  </w:docVars>
  <w:rsids>
    <w:rsidRoot w:val="385D5385"/>
    <w:rsid w:val="02045E04"/>
    <w:rsid w:val="03072759"/>
    <w:rsid w:val="045C42D3"/>
    <w:rsid w:val="053A4879"/>
    <w:rsid w:val="09E7368A"/>
    <w:rsid w:val="0CE306BF"/>
    <w:rsid w:val="0EAB0B3E"/>
    <w:rsid w:val="0EFE5BC0"/>
    <w:rsid w:val="109829FD"/>
    <w:rsid w:val="11AE1EF8"/>
    <w:rsid w:val="12F76C3B"/>
    <w:rsid w:val="13731442"/>
    <w:rsid w:val="16753278"/>
    <w:rsid w:val="16F4421D"/>
    <w:rsid w:val="1EE415D5"/>
    <w:rsid w:val="22CD049B"/>
    <w:rsid w:val="23A300BF"/>
    <w:rsid w:val="252055C5"/>
    <w:rsid w:val="25DD4646"/>
    <w:rsid w:val="2630688E"/>
    <w:rsid w:val="26E2015A"/>
    <w:rsid w:val="2A8568E5"/>
    <w:rsid w:val="2BB76496"/>
    <w:rsid w:val="2BFA1EAF"/>
    <w:rsid w:val="2C6F2A9B"/>
    <w:rsid w:val="2DAE72D7"/>
    <w:rsid w:val="2EA5532F"/>
    <w:rsid w:val="2F005CC6"/>
    <w:rsid w:val="32472EE9"/>
    <w:rsid w:val="385D5385"/>
    <w:rsid w:val="38FE7CA0"/>
    <w:rsid w:val="3AAA4C34"/>
    <w:rsid w:val="3DC226CC"/>
    <w:rsid w:val="3F5A260A"/>
    <w:rsid w:val="4156243A"/>
    <w:rsid w:val="422D2DDF"/>
    <w:rsid w:val="4251004E"/>
    <w:rsid w:val="434E2638"/>
    <w:rsid w:val="4551397C"/>
    <w:rsid w:val="4D5E4218"/>
    <w:rsid w:val="4E0C37ED"/>
    <w:rsid w:val="50A32C89"/>
    <w:rsid w:val="51631A61"/>
    <w:rsid w:val="51811D87"/>
    <w:rsid w:val="55DF7449"/>
    <w:rsid w:val="562E3764"/>
    <w:rsid w:val="591B48E3"/>
    <w:rsid w:val="5CBE0F3F"/>
    <w:rsid w:val="5CBE2215"/>
    <w:rsid w:val="5E3119E0"/>
    <w:rsid w:val="6F42173C"/>
    <w:rsid w:val="724B6C5D"/>
    <w:rsid w:val="747C2002"/>
    <w:rsid w:val="79B973D9"/>
    <w:rsid w:val="7A333E9D"/>
    <w:rsid w:val="7CB27599"/>
    <w:rsid w:val="7DDE7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2324</Words>
  <Characters>2378</Characters>
  <Lines>0</Lines>
  <Paragraphs>0</Paragraphs>
  <TotalTime>1</TotalTime>
  <ScaleCrop>false</ScaleCrop>
  <LinksUpToDate>false</LinksUpToDate>
  <CharactersWithSpaces>2546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2023-01-10T03:36:00Z</dcterms:created>
  <dc:creator>刘静</dc:creator>
  <cp:lastModifiedBy>Administrator</cp:lastModifiedBy>
  <cp:lastPrinted>2023-01-13T02:26:01Z</cp:lastPrinted>
  <dcterms:modified xsi:type="dcterms:W3CDTF">2023-01-13T02:26:09Z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C01052445A684BD58B3CC01757A22B7B</vt:lpwstr>
  </property>
</Properties>
</file>