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宋体" w:hAnsi="宋体" w:eastAsia="宋体" w:cs="宋体"/>
          <w:b/>
          <w:bCs/>
          <w:i w:val="0"/>
          <w:iCs w:val="0"/>
          <w:caps w:val="0"/>
          <w:color w:val="333333"/>
          <w:spacing w:val="0"/>
          <w:sz w:val="36"/>
          <w:szCs w:val="36"/>
          <w:shd w:val="clear" w:fill="FFFFFF"/>
        </w:rPr>
      </w:pPr>
      <w:r>
        <w:rPr>
          <w:rFonts w:hint="eastAsia" w:ascii="宋体" w:hAnsi="宋体" w:eastAsia="宋体" w:cs="宋体"/>
          <w:b/>
          <w:bCs/>
          <w:i w:val="0"/>
          <w:iCs w:val="0"/>
          <w:caps w:val="0"/>
          <w:color w:val="333333"/>
          <w:spacing w:val="0"/>
          <w:sz w:val="36"/>
          <w:szCs w:val="36"/>
          <w:shd w:val="clear" w:fill="FFFFFF"/>
        </w:rPr>
        <w:t>国家税务总局</w:t>
      </w:r>
      <w:r>
        <w:rPr>
          <w:rFonts w:hint="eastAsia" w:cs="宋体"/>
          <w:b/>
          <w:bCs/>
          <w:i w:val="0"/>
          <w:iCs w:val="0"/>
          <w:caps w:val="0"/>
          <w:color w:val="333333"/>
          <w:spacing w:val="0"/>
          <w:sz w:val="36"/>
          <w:szCs w:val="36"/>
          <w:shd w:val="clear" w:fill="FFFFFF"/>
          <w:lang w:val="en-US" w:eastAsia="zh-CN"/>
        </w:rPr>
        <w:t>侯马市</w:t>
      </w:r>
      <w:r>
        <w:rPr>
          <w:rFonts w:hint="eastAsia" w:ascii="宋体" w:hAnsi="宋体" w:eastAsia="宋体" w:cs="宋体"/>
          <w:b/>
          <w:bCs/>
          <w:i w:val="0"/>
          <w:iCs w:val="0"/>
          <w:caps w:val="0"/>
          <w:color w:val="333333"/>
          <w:spacing w:val="0"/>
          <w:sz w:val="36"/>
          <w:szCs w:val="36"/>
          <w:shd w:val="clear" w:fill="FFFFFF"/>
        </w:rPr>
        <w:t>税务局</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0"/>
        <w:jc w:val="center"/>
        <w:textAlignment w:val="auto"/>
        <w:rPr>
          <w:rFonts w:hint="eastAsia" w:ascii="宋体" w:hAnsi="宋体" w:eastAsia="宋体" w:cs="宋体"/>
          <w:i w:val="0"/>
          <w:caps w:val="0"/>
          <w:color w:val="333333"/>
          <w:spacing w:val="0"/>
          <w:sz w:val="24"/>
          <w:szCs w:val="24"/>
        </w:rPr>
      </w:pPr>
      <w:r>
        <w:rPr>
          <w:rFonts w:hint="eastAsia" w:ascii="宋体" w:hAnsi="宋体" w:cs="宋体"/>
          <w:b/>
          <w:i w:val="0"/>
          <w:caps w:val="0"/>
          <w:color w:val="333333"/>
          <w:spacing w:val="0"/>
          <w:sz w:val="36"/>
          <w:szCs w:val="36"/>
          <w:shd w:val="clear" w:color="auto" w:fill="FFFFFF"/>
          <w:lang w:val="en-US" w:eastAsia="zh-CN"/>
        </w:rPr>
        <w:t>2022年</w:t>
      </w:r>
      <w:r>
        <w:rPr>
          <w:rFonts w:hint="eastAsia" w:ascii="宋体" w:hAnsi="宋体" w:eastAsia="宋体" w:cs="宋体"/>
          <w:b/>
          <w:i w:val="0"/>
          <w:caps w:val="0"/>
          <w:color w:val="333333"/>
          <w:spacing w:val="0"/>
          <w:sz w:val="36"/>
          <w:szCs w:val="36"/>
          <w:shd w:val="clear" w:color="auto" w:fill="FFFFFF"/>
        </w:rPr>
        <w:t>政府信息公开工作年度报告</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caps w:val="0"/>
          <w:color w:val="333333"/>
          <w:spacing w:val="0"/>
          <w:sz w:val="24"/>
          <w:szCs w:val="24"/>
        </w:rPr>
      </w:pPr>
    </w:p>
    <w:p>
      <w:pPr>
        <w:pStyle w:val="3"/>
        <w:keepNext w:val="0"/>
        <w:keepLines w:val="0"/>
        <w:pageBreakBefore w:val="0"/>
        <w:widowControl/>
        <w:suppressLineNumbers w:val="0"/>
        <w:kinsoku/>
        <w:wordWrap/>
        <w:overflowPunct/>
        <w:topLinePunct w:val="0"/>
        <w:autoSpaceDE/>
        <w:autoSpaceDN/>
        <w:bidi w:val="0"/>
        <w:adjustRightInd/>
        <w:snapToGrid/>
        <w:spacing w:beforeAutospacing="0" w:afterAutospacing="0" w:line="600" w:lineRule="exact"/>
        <w:ind w:left="0" w:firstLine="640" w:firstLineChars="200"/>
        <w:jc w:val="both"/>
        <w:textAlignment w:val="auto"/>
        <w:rPr>
          <w:rFonts w:hint="eastAsia" w:ascii="宋体" w:hAnsi="宋体" w:eastAsia="宋体" w:cs="宋体"/>
          <w:b/>
          <w:i w:val="0"/>
          <w:caps w:val="0"/>
          <w:color w:val="333333"/>
          <w:spacing w:val="0"/>
          <w:sz w:val="24"/>
          <w:szCs w:val="24"/>
          <w:shd w:val="clear" w:color="auto" w:fill="FFFFFF"/>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根据《中华人民共和国政府信息公开条例》，特向社会公布2022年国家税务总局侯马市税务局政府信息公开年度报告。本年度报告由总体情况、主动公开政府信息情况、收到和处理政府信息公开申请情况、行政复议和行政诉讼情况、存在的主要问题和改进措施、其他需要报告的事项等部分组成，报告中所列数据的统计期限为2022年1月1日至2022年12月31日。</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一、总体情况</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2022年,国家税务总局侯马市税务局以习近平新时代中国特色社会主义思想为指导，深入贯彻落实党的二十大精神，按照国家税务总局临汾市税务局和侯马市委、市政府的有关工作部署，严格落实工作要求，紧紧围绕税务中心工作，聚集纳税人关切，全面推进决策、执行、管理、服务和结果公开。</w:t>
      </w:r>
    </w:p>
    <w:p>
      <w:pPr>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left"/>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一）主动公开情况。坚持“公开为原则，不公开为例外”，在认真抓好信息审查审核的基础上，做到应公开尽公开。全年主动公开信息包括：262户纳税信用等级A级纳税人名单及相关信息、1068户非正常户认定公告、1户委托代征公告、3户享受安置残疾人增值税优惠政策纳税人信息公告、外部媒体宣传8条。</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（二）依申请公开情况。侯马市税务局严格按照政府信息公开工作的规定要求，不断提升“依申请公开”规范化水平，2022年，我局未接到任何单位及个人的信息公开申请事项。</w:t>
      </w:r>
    </w:p>
    <w:p>
      <w:pPr>
        <w:pStyle w:val="3"/>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rightChars="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三）政府信息管理。对日常工作交流、涉税工作信息等操作流程进行规范管理，切实保障信息安全。完善政府信息制作和审查发布流程，加强对文件公开选项的审核，加强规范性文件管理，对不予公开的政府信息定期进行审查评估，对因情势变化可以公开的政府信息予以公开。充分利用“征纳互动”平台、“临汾税务”微信公众号等媒介，对税收政策、办税流程等内容进行公开宣传和推送。</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四）政府信息公开平台建设。一是加强组织领导，将政府信息公开工作与其它业务工作同部署、同落实、同督促，明确责任部门和责任人，明确信息公开联络员，及时关注网上公开信息发布情况，将政府信息公开工作纳入制度化、规范化轨道。二是全力配合临汾市局，积极做好相关信息的动态更新和维护，建设好侯马市税务局专属板块，同时借鉴兄弟单位的好做法，收集新情况，总结新经验。三是按照相关要求，稳步拓宽政务公开内容范围，将信息公开网站打造成税收普法新平台，提升政务公开实效。</w:t>
      </w:r>
    </w:p>
    <w:p>
      <w:pPr>
        <w:keepNext w:val="0"/>
        <w:keepLines w:val="0"/>
        <w:pageBreakBefore w:val="0"/>
        <w:widowControl/>
        <w:kinsoku/>
        <w:wordWrap/>
        <w:overflowPunct/>
        <w:topLinePunct w:val="0"/>
        <w:autoSpaceDE/>
        <w:autoSpaceDN/>
        <w:bidi w:val="0"/>
        <w:adjustRightInd/>
        <w:snapToGrid/>
        <w:ind w:firstLine="640" w:firstLineChars="200"/>
        <w:jc w:val="both"/>
        <w:textAlignment w:val="auto"/>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五）监督保障。建立政务信息公开长效机制，建立信息发布保密审查机制，明确审查程序和责任，专人负责政府信息公开的日常工作，做到及时更新信息，并对发布的政务信息进行审核把关，加强政务公开工作的常态化监督。</w:t>
      </w:r>
    </w:p>
    <w:p>
      <w:pPr>
        <w:pStyle w:val="3"/>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40" w:lineRule="exact"/>
        <w:ind w:left="0" w:right="0" w:firstLine="420"/>
        <w:jc w:val="both"/>
        <w:textAlignment w:val="auto"/>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二、主动公开政府信息情况</w:t>
      </w:r>
    </w:p>
    <w:tbl>
      <w:tblPr>
        <w:tblStyle w:val="4"/>
        <w:tblW w:w="928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2320"/>
        <w:gridCol w:w="2320"/>
        <w:gridCol w:w="2320"/>
        <w:gridCol w:w="2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single" w:color="auto" w:sz="8" w:space="0"/>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kern w:val="0"/>
                <w:sz w:val="20"/>
                <w:szCs w:val="20"/>
                <w:lang w:val="en-US" w:eastAsia="zh-CN" w:bidi="ar"/>
              </w:rPr>
              <w:t>制发件数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320"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0</w:t>
            </w:r>
          </w:p>
        </w:tc>
        <w:tc>
          <w:tcPr>
            <w:tcW w:w="2320"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Calibri" w:hAnsi="Calibri" w:cs="Calibri"/>
                <w:kern w:val="0"/>
                <w:sz w:val="21"/>
                <w:szCs w:val="21"/>
                <w:lang w:val="en-US" w:eastAsia="zh-CN" w:bidi="ar"/>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Calibri" w:hAnsi="Calibri" w:cs="Calibri"/>
                <w:kern w:val="0"/>
                <w:sz w:val="21"/>
                <w:szCs w:val="21"/>
                <w:lang w:val="en-US" w:eastAsia="zh-CN" w:bidi="ar"/>
              </w:rPr>
              <w:t>217</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宋体" w:hAnsi="宋体" w:eastAsia="宋体" w:cs="宋体"/>
                <w:color w:val="000000"/>
                <w:kern w:val="0"/>
                <w:sz w:val="20"/>
                <w:szCs w:val="20"/>
                <w:lang w:val="en-US" w:eastAsia="zh-CN" w:bidi="ar"/>
              </w:rPr>
              <w:t>76</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6960" w:type="dxa"/>
            <w:gridSpan w:val="3"/>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cs="Times New Roman" w:eastAsiaTheme="minorEastAsia"/>
                <w:kern w:val="2"/>
                <w:sz w:val="21"/>
                <w:szCs w:val="24"/>
                <w:lang w:val="en-US" w:eastAsia="zh-CN" w:bidi="ar-SA"/>
              </w:rPr>
            </w:pPr>
            <w:r>
              <w:rPr>
                <w:rFonts w:hint="eastAsia"/>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9280" w:type="dxa"/>
            <w:gridSpan w:val="4"/>
            <w:tcBorders>
              <w:top w:val="nil"/>
              <w:left w:val="single" w:color="auto" w:sz="8" w:space="0"/>
              <w:bottom w:val="single" w:color="auto" w:sz="8" w:space="0"/>
              <w:right w:val="single" w:color="auto" w:sz="8" w:space="0"/>
            </w:tcBorders>
            <w:shd w:val="clear" w:color="auto" w:fill="C6D9F1"/>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62"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508" w:hRule="atLeast"/>
          <w:jc w:val="center"/>
        </w:trPr>
        <w:tc>
          <w:tcPr>
            <w:tcW w:w="2320" w:type="dxa"/>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6960" w:type="dxa"/>
            <w:gridSpan w:val="3"/>
            <w:tcBorders>
              <w:top w:val="nil"/>
              <w:left w:val="nil"/>
              <w:bottom w:val="single" w:color="auto" w:sz="8" w:space="0"/>
              <w:right w:val="single" w:color="000000" w:sz="8" w:space="0"/>
            </w:tcBorders>
            <w:noWrap w:val="0"/>
            <w:tcMar>
              <w:left w:w="57" w:type="dxa"/>
              <w:right w:w="57" w:type="dxa"/>
            </w:tcMar>
            <w:vAlign w:val="center"/>
          </w:tcPr>
          <w:p>
            <w:pPr>
              <w:jc w:val="center"/>
              <w:rPr>
                <w:rFonts w:hint="eastAsia" w:ascii="宋体" w:eastAsia="宋体"/>
                <w:sz w:val="24"/>
                <w:szCs w:val="24"/>
                <w:lang w:val="en-US" w:eastAsia="zh-CN"/>
              </w:rPr>
            </w:pPr>
            <w:r>
              <w:rPr>
                <w:rFonts w:hint="eastAsia" w:ascii="宋体"/>
                <w:sz w:val="24"/>
                <w:szCs w:val="24"/>
                <w:lang w:val="en-US" w:eastAsia="zh-CN"/>
              </w:rPr>
              <w:t>0</w:t>
            </w:r>
          </w:p>
        </w:tc>
      </w:tr>
    </w:tbl>
    <w:p>
      <w:pPr>
        <w:keepNext w:val="0"/>
        <w:keepLines w:val="0"/>
        <w:widowControl/>
        <w:suppressLineNumbers w:val="0"/>
        <w:jc w:val="left"/>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b/>
          <w:i w:val="0"/>
          <w:caps w:val="0"/>
          <w:color w:val="333333"/>
          <w:spacing w:val="0"/>
          <w:sz w:val="24"/>
          <w:szCs w:val="24"/>
          <w:shd w:val="clear" w:color="auto" w:fill="FFFFFF"/>
        </w:rPr>
        <w:sectPr>
          <w:pgSz w:w="11906" w:h="16838"/>
          <w:pgMar w:top="1440" w:right="1800" w:bottom="1440" w:left="1800" w:header="851" w:footer="992" w:gutter="0"/>
          <w:cols w:space="425" w:num="1"/>
          <w:docGrid w:type="lines" w:linePitch="312" w:charSpace="0"/>
        </w:sect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bookmarkStart w:id="0" w:name="_GoBack"/>
      <w:bookmarkEnd w:id="0"/>
      <w:r>
        <w:rPr>
          <w:rFonts w:hint="eastAsia" w:ascii="宋体" w:hAnsi="宋体" w:eastAsia="宋体" w:cs="宋体"/>
          <w:b/>
          <w:i w:val="0"/>
          <w:caps w:val="0"/>
          <w:color w:val="333333"/>
          <w:spacing w:val="0"/>
          <w:sz w:val="24"/>
          <w:szCs w:val="24"/>
          <w:shd w:val="clear" w:color="auto" w:fill="FFFFFF"/>
        </w:rPr>
        <w:t>三、收到和处理政府信息公开申请情况</w:t>
      </w:r>
    </w:p>
    <w:tbl>
      <w:tblPr>
        <w:tblStyle w:val="4"/>
        <w:tblW w:w="985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776"/>
        <w:gridCol w:w="953"/>
        <w:gridCol w:w="3258"/>
        <w:gridCol w:w="695"/>
        <w:gridCol w:w="695"/>
        <w:gridCol w:w="695"/>
        <w:gridCol w:w="695"/>
        <w:gridCol w:w="695"/>
        <w:gridCol w:w="699"/>
        <w:gridCol w:w="698"/>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restart"/>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楷体" w:hAnsi="楷体" w:eastAsia="楷体" w:cs="楷体"/>
                <w:kern w:val="0"/>
                <w:sz w:val="20"/>
                <w:szCs w:val="20"/>
                <w:lang w:val="en-US" w:eastAsia="zh-CN" w:bidi="ar"/>
              </w:rPr>
              <w:t>（本列数据的勾稽关系为：第一项加第二项之和，等于第三项加第四项之和）</w:t>
            </w:r>
          </w:p>
        </w:tc>
        <w:tc>
          <w:tcPr>
            <w:tcW w:w="4872" w:type="dxa"/>
            <w:gridSpan w:val="7"/>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申请人情况</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restart"/>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自然人</w:t>
            </w:r>
          </w:p>
        </w:tc>
        <w:tc>
          <w:tcPr>
            <w:tcW w:w="3479" w:type="dxa"/>
            <w:gridSpan w:val="5"/>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法人或其他组织</w:t>
            </w:r>
          </w:p>
        </w:tc>
        <w:tc>
          <w:tcPr>
            <w:tcW w:w="698" w:type="dxa"/>
            <w:vMerge w:val="restart"/>
            <w:tcBorders>
              <w:top w:val="single"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4987" w:type="dxa"/>
            <w:gridSpan w:val="3"/>
            <w:vMerge w:val="continue"/>
            <w:tcBorders>
              <w:top w:val="single" w:color="auto" w:sz="8" w:space="0"/>
              <w:left w:val="single" w:color="auto" w:sz="8" w:space="0"/>
              <w:bottom w:val="outset"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95" w:type="dxa"/>
            <w:vMerge w:val="continue"/>
            <w:tcBorders>
              <w:top w:val="nil"/>
              <w:left w:val="nil"/>
              <w:bottom w:val="single" w:color="auto" w:sz="8" w:space="0"/>
              <w:right w:val="single" w:color="auto" w:sz="8" w:space="0"/>
            </w:tcBorders>
            <w:noWrap w:val="0"/>
            <w:tcMar>
              <w:left w:w="57" w:type="dxa"/>
              <w:right w:w="57" w:type="dxa"/>
            </w:tcMar>
            <w:vAlign w:val="center"/>
          </w:tcPr>
          <w:p>
            <w:pPr>
              <w:rPr>
                <w:rFonts w:hint="eastAsia" w:ascii="宋体"/>
                <w:sz w:val="24"/>
                <w:szCs w:val="24"/>
              </w:rPr>
            </w:pP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商业</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企业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科研</w:t>
            </w:r>
          </w:p>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机构</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社会公益组织</w:t>
            </w:r>
          </w:p>
        </w:tc>
        <w:tc>
          <w:tcPr>
            <w:tcW w:w="695"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法律服务机构</w:t>
            </w:r>
          </w:p>
        </w:tc>
        <w:tc>
          <w:tcPr>
            <w:tcW w:w="699" w:type="dxa"/>
            <w:tcBorders>
              <w:top w:val="single" w:color="auto" w:sz="8" w:space="0"/>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kern w:val="0"/>
                <w:sz w:val="20"/>
                <w:szCs w:val="20"/>
                <w:lang w:val="en-US" w:eastAsia="zh-CN" w:bidi="ar"/>
              </w:rPr>
              <w:t>其他</w:t>
            </w:r>
          </w:p>
        </w:tc>
        <w:tc>
          <w:tcPr>
            <w:tcW w:w="698" w:type="dxa"/>
            <w:vMerge w:val="continue"/>
            <w:tcBorders>
              <w:top w:val="single"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57"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一、本年新收政府信息公开申请数量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二、上年结转政府信息公开申请数量</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restart"/>
            <w:tcBorders>
              <w:top w:val="nil"/>
              <w:left w:val="single" w:color="auto" w:sz="8" w:space="0"/>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三、本年度办理结果</w:t>
            </w: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（一）予以公开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675"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（二）部分公开</w:t>
            </w:r>
            <w:r>
              <w:rPr>
                <w:rFonts w:hint="eastAsia" w:ascii="楷体" w:hAnsi="楷体" w:eastAsia="楷体" w:cs="楷体"/>
                <w:kern w:val="0"/>
                <w:sz w:val="20"/>
                <w:szCs w:val="20"/>
                <w:lang w:val="en-US" w:eastAsia="zh-CN" w:bidi="ar"/>
              </w:rPr>
              <w:t>（区分处理的，只计这一情形，不计其他情形）</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（三）不予公开</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1.属于国家秘密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single" w:color="auto" w:sz="8" w:space="0"/>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2.其他法律行政法规禁止公开</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3.危及“三安全一稳定”</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4.保护第三方合法权益</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5.属于三类内部事务信息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6.属于四类过程性信息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7.属于行政执法案卷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8.属于行政查询事项</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（四）无法提供</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1.本机关不掌握相关政府信息</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2.没有现成信息需要另行制作</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3.补正后申请内容仍不明确</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（五）不予处理</w:t>
            </w: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1.信访举报投诉类申请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2.重复申请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3.要求提供公开出版物</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4.无正当理由大量反复申请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37"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nil"/>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5.要求行政机关确认或重新出具已获取信息</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restart"/>
            <w:tcBorders>
              <w:top w:val="outset" w:color="auto" w:sz="8" w:space="0"/>
              <w:left w:val="nil"/>
              <w:bottom w:val="outset"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（六）其他处理</w:t>
            </w: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1.申请人无正当理由逾期不补正、行政机关不再处理其政府信息公开申请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1002"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both"/>
            </w:pPr>
            <w:r>
              <w:rPr>
                <w:rFonts w:hint="eastAsia" w:ascii="宋体" w:hAnsi="宋体" w:eastAsia="宋体" w:cs="宋体"/>
                <w:kern w:val="0"/>
                <w:sz w:val="20"/>
                <w:szCs w:val="20"/>
                <w:lang w:val="en-US" w:eastAsia="zh-CN" w:bidi="ar"/>
              </w:rPr>
              <w:t>2.申请人逾期未按收费通知要求缴纳费用、行政机关不再处理其政府信息公开申请</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953" w:type="dxa"/>
            <w:vMerge w:val="continue"/>
            <w:tcBorders>
              <w:top w:val="outset" w:color="auto" w:sz="8" w:space="0"/>
              <w:left w:val="nil"/>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3258"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3.其他</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48" w:hRule="atLeast"/>
          <w:jc w:val="center"/>
        </w:trPr>
        <w:tc>
          <w:tcPr>
            <w:tcW w:w="776" w:type="dxa"/>
            <w:vMerge w:val="continue"/>
            <w:tcBorders>
              <w:top w:val="nil"/>
              <w:left w:val="single" w:color="auto" w:sz="8" w:space="0"/>
              <w:bottom w:val="outset" w:color="auto" w:sz="8" w:space="0"/>
              <w:right w:val="single" w:color="auto" w:sz="8" w:space="0"/>
            </w:tcBorders>
            <w:noWrap w:val="0"/>
            <w:tcMar>
              <w:left w:w="57" w:type="dxa"/>
              <w:right w:w="57" w:type="dxa"/>
            </w:tcMar>
            <w:vAlign w:val="center"/>
          </w:tcPr>
          <w:p>
            <w:pPr>
              <w:rPr>
                <w:rFonts w:hint="eastAsia" w:ascii="宋体"/>
                <w:sz w:val="24"/>
                <w:szCs w:val="24"/>
              </w:rPr>
            </w:pPr>
          </w:p>
        </w:tc>
        <w:tc>
          <w:tcPr>
            <w:tcW w:w="4211" w:type="dxa"/>
            <w:gridSpan w:val="2"/>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（七）总计</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369" w:hRule="atLeast"/>
          <w:jc w:val="center"/>
        </w:trPr>
        <w:tc>
          <w:tcPr>
            <w:tcW w:w="4987" w:type="dxa"/>
            <w:gridSpan w:val="3"/>
            <w:tcBorders>
              <w:top w:val="nil"/>
              <w:left w:val="single" w:color="auto" w:sz="8" w:space="0"/>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kern w:val="0"/>
                <w:sz w:val="20"/>
                <w:szCs w:val="20"/>
                <w:lang w:val="en-US" w:eastAsia="zh-CN" w:bidi="ar"/>
              </w:rPr>
              <w:t>四、结转下年度继续办理</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5"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99" w:type="dxa"/>
            <w:tcBorders>
              <w:top w:val="nil"/>
              <w:left w:val="nil"/>
              <w:bottom w:val="single" w:color="auto" w:sz="8" w:space="0"/>
              <w:right w:val="single" w:color="auto" w:sz="8" w:space="0"/>
            </w:tcBorders>
            <w:noWrap w:val="0"/>
            <w:tcMar>
              <w:left w:w="57"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98" w:type="dxa"/>
            <w:tcBorders>
              <w:top w:val="nil"/>
              <w:left w:val="nil"/>
              <w:bottom w:val="single" w:color="auto" w:sz="8" w:space="0"/>
              <w:right w:val="single" w:color="auto" w:sz="8" w:space="0"/>
            </w:tcBorders>
            <w:noWrap w:val="0"/>
            <w:tcMar>
              <w:left w:w="57" w:type="dxa"/>
              <w:right w:w="57"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eastAsia"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0"/>
        <w:jc w:val="both"/>
        <w:rPr>
          <w:rFonts w:hint="eastAsia" w:ascii="宋体" w:hAnsi="宋体" w:eastAsia="宋体" w:cs="宋体"/>
          <w:i w:val="0"/>
          <w:caps w:val="0"/>
          <w:color w:val="333333"/>
          <w:spacing w:val="0"/>
          <w:sz w:val="24"/>
          <w:szCs w:val="24"/>
        </w:rPr>
      </w:pP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color="auto" w:fill="FFFFFF"/>
        <w:spacing w:before="0" w:beforeAutospacing="0" w:after="0" w:afterAutospacing="0"/>
        <w:ind w:left="0" w:right="0" w:firstLine="420"/>
        <w:jc w:val="both"/>
        <w:rPr>
          <w:rFonts w:hint="eastAsia" w:ascii="宋体" w:hAnsi="宋体" w:eastAsia="宋体" w:cs="宋体"/>
          <w:i w:val="0"/>
          <w:caps w:val="0"/>
          <w:color w:val="333333"/>
          <w:spacing w:val="0"/>
          <w:sz w:val="24"/>
          <w:szCs w:val="24"/>
        </w:rPr>
      </w:pPr>
      <w:r>
        <w:rPr>
          <w:rFonts w:hint="eastAsia" w:ascii="宋体" w:hAnsi="宋体" w:eastAsia="宋体" w:cs="宋体"/>
          <w:b/>
          <w:i w:val="0"/>
          <w:caps w:val="0"/>
          <w:color w:val="333333"/>
          <w:spacing w:val="0"/>
          <w:sz w:val="24"/>
          <w:szCs w:val="24"/>
          <w:shd w:val="clear" w:color="auto" w:fill="FFFFFF"/>
        </w:rPr>
        <w:t>四、政府信息公开行政复议、行政诉讼情况</w:t>
      </w:r>
    </w:p>
    <w:tbl>
      <w:tblPr>
        <w:tblStyle w:val="4"/>
        <w:tblW w:w="9619" w:type="dxa"/>
        <w:jc w:val="center"/>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0" w:type="dxa"/>
          <w:left w:w="0" w:type="dxa"/>
          <w:bottom w:w="0" w:type="dxa"/>
          <w:right w:w="0" w:type="dxa"/>
        </w:tblCellMar>
      </w:tblPr>
      <w:tblGrid>
        <w:gridCol w:w="640"/>
        <w:gridCol w:w="640"/>
        <w:gridCol w:w="640"/>
        <w:gridCol w:w="640"/>
        <w:gridCol w:w="642"/>
        <w:gridCol w:w="640"/>
        <w:gridCol w:w="640"/>
        <w:gridCol w:w="641"/>
        <w:gridCol w:w="641"/>
        <w:gridCol w:w="643"/>
        <w:gridCol w:w="642"/>
        <w:gridCol w:w="642"/>
        <w:gridCol w:w="642"/>
        <w:gridCol w:w="642"/>
        <w:gridCol w:w="644"/>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320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行政复议</w:t>
            </w:r>
          </w:p>
        </w:tc>
        <w:tc>
          <w:tcPr>
            <w:tcW w:w="6417" w:type="dxa"/>
            <w:gridSpan w:val="10"/>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400" w:hRule="atLeast"/>
          <w:jc w:val="center"/>
        </w:trPr>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结果维持</w:t>
            </w:r>
          </w:p>
        </w:tc>
        <w:tc>
          <w:tcPr>
            <w:tcW w:w="640" w:type="dxa"/>
            <w:vMerge w:val="restart"/>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0"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2" w:type="dxa"/>
            <w:vMerge w:val="restart"/>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总计</w:t>
            </w:r>
          </w:p>
        </w:tc>
        <w:tc>
          <w:tcPr>
            <w:tcW w:w="3205"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未经复议直接起诉</w:t>
            </w:r>
          </w:p>
        </w:tc>
        <w:tc>
          <w:tcPr>
            <w:tcW w:w="3212" w:type="dxa"/>
            <w:gridSpan w:val="5"/>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776" w:hRule="atLeast"/>
          <w:jc w:val="center"/>
        </w:trPr>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nil"/>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2" w:type="dxa"/>
            <w:vMerge w:val="continue"/>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rPr>
                <w:rFonts w:hint="eastAsia" w:ascii="宋体"/>
                <w:sz w:val="24"/>
                <w:szCs w:val="24"/>
              </w:rPr>
            </w:pP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其他</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结果</w:t>
            </w:r>
          </w:p>
        </w:tc>
        <w:tc>
          <w:tcPr>
            <w:tcW w:w="641"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3"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维持</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结果</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纠正</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42"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kern w:val="0"/>
                <w:sz w:val="20"/>
                <w:szCs w:val="20"/>
                <w:lang w:val="en-US" w:eastAsia="zh-CN" w:bidi="ar"/>
              </w:rPr>
              <w:t>尚未</w:t>
            </w:r>
            <w:r>
              <w:rPr>
                <w:rFonts w:hint="eastAsia" w:ascii="宋体" w:hAnsi="宋体" w:eastAsia="宋体" w:cs="宋体"/>
                <w:kern w:val="0"/>
                <w:sz w:val="20"/>
                <w:szCs w:val="20"/>
                <w:lang w:val="en-US" w:eastAsia="zh-CN" w:bidi="ar"/>
              </w:rPr>
              <w:br w:type="textWrapping"/>
            </w:r>
            <w:r>
              <w:rPr>
                <w:rFonts w:hint="eastAsia" w:ascii="宋体" w:hAnsi="宋体" w:eastAsia="宋体" w:cs="宋体"/>
                <w:kern w:val="0"/>
                <w:sz w:val="20"/>
                <w:szCs w:val="20"/>
                <w:lang w:val="en-US" w:eastAsia="zh-CN" w:bidi="ar"/>
              </w:rPr>
              <w:t>审结</w:t>
            </w:r>
          </w:p>
        </w:tc>
        <w:tc>
          <w:tcPr>
            <w:tcW w:w="644" w:type="dxa"/>
            <w:tcBorders>
              <w:top w:val="single" w:color="auto" w:sz="8" w:space="0"/>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0" w:type="dxa"/>
            <w:left w:w="0" w:type="dxa"/>
            <w:bottom w:w="0" w:type="dxa"/>
            <w:right w:w="0" w:type="dxa"/>
          </w:tblCellMar>
        </w:tblPrEx>
        <w:trPr>
          <w:trHeight w:val="858" w:hRule="atLeast"/>
          <w:jc w:val="center"/>
        </w:trPr>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0"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uto"/>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1"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3"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hint="default" w:ascii="Calibri" w:hAnsi="Calibri" w:eastAsia="宋体" w:cs="Times New Roman"/>
                <w:kern w:val="2"/>
                <w:sz w:val="21"/>
                <w:szCs w:val="24"/>
                <w:lang w:val="en-US" w:eastAsia="zh-CN" w:bidi="ar-SA"/>
              </w:rPr>
            </w:pPr>
            <w:r>
              <w:rPr>
                <w:rFonts w:hint="default" w:ascii="Calibri" w:hAnsi="Calibri" w:cs="Calibri" w:eastAsiaTheme="minorEastAsia"/>
                <w:kern w:val="0"/>
                <w:sz w:val="20"/>
                <w:szCs w:val="20"/>
                <w:lang w:val="en-US" w:eastAsia="zh-CN" w:bidi="ar"/>
              </w:rPr>
              <w:t> </w:t>
            </w:r>
            <w:r>
              <w:rPr>
                <w:rFonts w:hint="eastAsia" w:ascii="Calibri" w:hAnsi="Calibri" w:cs="Calibri"/>
                <w:kern w:val="0"/>
                <w:sz w:val="20"/>
                <w:szCs w:val="20"/>
                <w:lang w:val="en-US" w:eastAsia="zh-CN" w:bidi="ar"/>
              </w:rPr>
              <w:t>0</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leftChars="0" w:right="0" w:rightChars="0"/>
              <w:jc w:val="center"/>
              <w:rPr>
                <w:rFonts w:ascii="Calibri" w:hAnsi="Calibri" w:eastAsia="宋体" w:cs="Times New Roman"/>
                <w:kern w:val="2"/>
                <w:sz w:val="21"/>
                <w:szCs w:val="24"/>
                <w:lang w:val="en-US" w:eastAsia="zh-CN" w:bidi="ar-SA"/>
              </w:rPr>
            </w:pPr>
            <w:r>
              <w:rPr>
                <w:rFonts w:hint="eastAsia" w:ascii="Calibri" w:hAnsi="Calibri" w:cs="Calibri"/>
                <w:kern w:val="0"/>
                <w:sz w:val="20"/>
                <w:szCs w:val="20"/>
                <w:lang w:val="en-US" w:eastAsia="zh-CN" w:bidi="ar"/>
              </w:rPr>
              <w:t>0</w:t>
            </w:r>
            <w:r>
              <w:rPr>
                <w:rFonts w:hint="default" w:ascii="Calibri" w:hAnsi="Calibri" w:cs="Calibri" w:eastAsiaTheme="minorEastAsia"/>
                <w:kern w:val="0"/>
                <w:sz w:val="20"/>
                <w:szCs w:val="20"/>
                <w:lang w:val="en-US" w:eastAsia="zh-CN" w:bidi="ar"/>
              </w:rPr>
              <w:t> </w:t>
            </w:r>
          </w:p>
        </w:tc>
        <w:tc>
          <w:tcPr>
            <w:tcW w:w="642" w:type="dxa"/>
            <w:tcBorders>
              <w:top w:val="nil"/>
              <w:left w:val="single" w:color="auto" w:sz="8" w:space="0"/>
              <w:bottom w:val="single" w:color="auto" w:sz="8" w:space="0"/>
              <w:right w:val="single" w:color="auto" w:sz="8" w:space="0"/>
            </w:tcBorders>
            <w:noWrap w:val="0"/>
            <w:tcMar>
              <w:left w:w="108" w:type="dxa"/>
              <w:right w:w="108" w:type="dxa"/>
            </w:tcMar>
            <w:vAlign w:val="top"/>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720" w:lineRule="auto"/>
              <w:ind w:left="0" w:leftChars="0" w:right="0" w:rightChars="0"/>
              <w:jc w:val="center"/>
              <w:rPr>
                <w:rFonts w:hint="default" w:ascii="Calibri" w:hAnsi="Calibri" w:eastAsia="宋体" w:cs="Calibri"/>
                <w:kern w:val="0"/>
                <w:sz w:val="20"/>
                <w:szCs w:val="20"/>
                <w:lang w:val="en-US" w:eastAsia="zh-CN" w:bidi="ar"/>
              </w:rPr>
            </w:pPr>
            <w:r>
              <w:rPr>
                <w:rFonts w:hint="eastAsia" w:ascii="Calibri" w:hAnsi="Calibri" w:cs="Calibri"/>
                <w:kern w:val="0"/>
                <w:sz w:val="20"/>
                <w:szCs w:val="20"/>
                <w:lang w:val="en-US" w:eastAsia="zh-CN" w:bidi="ar"/>
              </w:rPr>
              <w:t>0</w:t>
            </w:r>
          </w:p>
        </w:tc>
        <w:tc>
          <w:tcPr>
            <w:tcW w:w="644" w:type="dxa"/>
            <w:tcBorders>
              <w:top w:val="nil"/>
              <w:left w:val="single" w:color="auto" w:sz="8" w:space="0"/>
              <w:bottom w:val="single" w:color="auto" w:sz="8" w:space="0"/>
              <w:right w:val="single" w:color="auto" w:sz="8" w:space="0"/>
            </w:tcBorders>
            <w:noWrap w:val="0"/>
            <w:tcMar>
              <w:left w:w="108" w:type="dxa"/>
              <w:right w:w="108" w:type="dxa"/>
            </w:tcMar>
            <w:vAlign w:val="center"/>
          </w:tcPr>
          <w:p>
            <w:pPr>
              <w:jc w:val="center"/>
              <w:rPr>
                <w:rFonts w:hint="eastAsia" w:ascii="宋体" w:eastAsia="宋体"/>
                <w:sz w:val="24"/>
                <w:szCs w:val="24"/>
                <w:lang w:val="en-US" w:eastAsia="zh-CN"/>
              </w:rPr>
            </w:pPr>
            <w:r>
              <w:rPr>
                <w:rFonts w:hint="eastAsia" w:ascii="Calibri" w:hAnsi="Calibri" w:cs="Calibri"/>
                <w:kern w:val="0"/>
                <w:sz w:val="20"/>
                <w:szCs w:val="20"/>
                <w:lang w:val="en-US" w:eastAsia="zh-CN" w:bidi="ar"/>
              </w:rPr>
              <w:t>0</w:t>
            </w:r>
          </w:p>
        </w:tc>
      </w:tr>
    </w:tbl>
    <w:p>
      <w:pPr>
        <w:keepNext w:val="0"/>
        <w:keepLines w:val="0"/>
        <w:widowControl/>
        <w:suppressLineNumbers w:val="0"/>
        <w:jc w:val="left"/>
      </w:pPr>
    </w:p>
    <w:p>
      <w:pPr>
        <w:pStyle w:val="3"/>
        <w:keepNext w:val="0"/>
        <w:keepLines w:val="0"/>
        <w:widowControl/>
        <w:suppressLineNumbers w:val="0"/>
        <w:spacing w:after="0" w:afterAutospacing="0" w:line="240" w:lineRule="auto"/>
        <w:ind w:left="0" w:firstLine="418"/>
        <w:jc w:val="both"/>
      </w:pPr>
      <w:r>
        <w:rPr>
          <w:rStyle w:val="6"/>
          <w:rFonts w:hint="eastAsia" w:ascii="宋体" w:hAnsi="宋体" w:eastAsia="宋体" w:cs="宋体"/>
          <w:i w:val="0"/>
          <w:spacing w:val="0"/>
          <w:sz w:val="24"/>
          <w:szCs w:val="24"/>
        </w:rPr>
        <w:t>五、存在的主要问题及改进情况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（一）存在的主要问题</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2022年我局政府信息公开取得了一定成效，运行平稳且日益完善，但仍存在一些不足。一是工作动态、公示信息更新不够及时，公开内容的细化需进一步加强。二是政府信息公开队伍整体的专业化、理论化水平还有待进一步提升，对政策的把握能力不强，处理公开具体工作中复杂问题办法不多，一定程度上制约了政府信息公开工作的深入推进。</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（二）改进情况</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一是进一步丰富政府信息公开形式。努力探索信息公开的新途径、新渠道，利用网站、公告栏、微信公众号等多种形式进行信息公开，扩大社会知晓面，不断提高社会对政府信息公开工作的满意度。</w:t>
      </w:r>
    </w:p>
    <w:p>
      <w:pPr>
        <w:pStyle w:val="3"/>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right="0" w:firstLine="640" w:firstLineChars="200"/>
        <w:jc w:val="both"/>
        <w:rPr>
          <w:rFonts w:hint="eastAsia" w:ascii="仿宋_GB2312" w:hAnsi="仿宋_GB2312" w:eastAsia="仿宋_GB2312" w:cs="仿宋_GB2312"/>
          <w:i w:val="0"/>
          <w:caps w:val="0"/>
          <w:color w:val="272D34"/>
          <w:spacing w:val="0"/>
          <w:kern w:val="2"/>
          <w:sz w:val="32"/>
          <w:szCs w:val="32"/>
          <w:shd w:val="clear" w:fill="FFFFFF"/>
          <w:lang w:val="en-US" w:eastAsia="zh-CN" w:bidi="ar-SA"/>
        </w:rPr>
      </w:pPr>
      <w:r>
        <w:rPr>
          <w:rFonts w:hint="eastAsia" w:ascii="仿宋_GB2312" w:hAnsi="仿宋_GB2312" w:eastAsia="仿宋_GB2312" w:cs="仿宋_GB2312"/>
          <w:i w:val="0"/>
          <w:caps w:val="0"/>
          <w:color w:val="272D34"/>
          <w:spacing w:val="0"/>
          <w:kern w:val="2"/>
          <w:sz w:val="32"/>
          <w:szCs w:val="32"/>
          <w:shd w:val="clear" w:fill="FFFFFF"/>
          <w:lang w:val="en-US" w:eastAsia="zh-CN" w:bidi="ar-SA"/>
        </w:rPr>
        <w:t>二是加大政府信息公开培训力度。举办政府信息公开培训班，做好组织培训，提高政府信息公开队伍整体的专业化水平，切实增强信息公开队伍发布信息、解读政策、回应关切的能力。</w:t>
      </w:r>
    </w:p>
    <w:p>
      <w:pPr>
        <w:pStyle w:val="3"/>
        <w:keepNext w:val="0"/>
        <w:keepLines w:val="0"/>
        <w:widowControl/>
        <w:suppressLineNumbers w:val="0"/>
        <w:spacing w:after="0" w:afterAutospacing="0" w:line="240" w:lineRule="auto"/>
        <w:ind w:left="0" w:firstLine="418"/>
        <w:jc w:val="both"/>
      </w:pPr>
      <w:r>
        <w:rPr>
          <w:rStyle w:val="6"/>
          <w:rFonts w:hint="eastAsia" w:ascii="宋体" w:hAnsi="宋体" w:eastAsia="宋体" w:cs="宋体"/>
          <w:i w:val="0"/>
          <w:spacing w:val="0"/>
          <w:sz w:val="24"/>
          <w:szCs w:val="24"/>
        </w:rPr>
        <w:t>六、其他需要报告的事项</w:t>
      </w:r>
    </w:p>
    <w:p>
      <w:pPr>
        <w:ind w:firstLine="640" w:firstLineChars="200"/>
      </w:pPr>
      <w:r>
        <w:rPr>
          <w:rFonts w:hint="eastAsia" w:ascii="仿宋_GB2312" w:hAnsi="仿宋_GB2312" w:eastAsia="仿宋_GB2312" w:cs="仿宋_GB2312"/>
          <w:i w:val="0"/>
          <w:caps w:val="0"/>
          <w:color w:val="272D34"/>
          <w:spacing w:val="0"/>
          <w:kern w:val="2"/>
          <w:sz w:val="32"/>
          <w:szCs w:val="32"/>
          <w:shd w:val="clear" w:fill="FFFFFF"/>
          <w:lang w:val="en-US" w:eastAsia="zh-CN" w:bidi="ar-SA"/>
        </w:rPr>
        <w:t>本年度没有产生信息公开处理费。</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dlYWE4MTliMWI1ZWJhMTg5MDUzZTU2NGQ3YmJiNWMifQ=="/>
  </w:docVars>
  <w:rsids>
    <w:rsidRoot w:val="385D5385"/>
    <w:rsid w:val="02045E04"/>
    <w:rsid w:val="03072759"/>
    <w:rsid w:val="045C42D3"/>
    <w:rsid w:val="053A4879"/>
    <w:rsid w:val="09E7368A"/>
    <w:rsid w:val="0CE306BF"/>
    <w:rsid w:val="0EAB0B3E"/>
    <w:rsid w:val="0EFE5BC0"/>
    <w:rsid w:val="109829FD"/>
    <w:rsid w:val="11AE1EF8"/>
    <w:rsid w:val="12F76C3B"/>
    <w:rsid w:val="13731442"/>
    <w:rsid w:val="16753278"/>
    <w:rsid w:val="16F4421D"/>
    <w:rsid w:val="1EE415D5"/>
    <w:rsid w:val="22CD049B"/>
    <w:rsid w:val="23A300BF"/>
    <w:rsid w:val="252055C5"/>
    <w:rsid w:val="25DD4646"/>
    <w:rsid w:val="2630688E"/>
    <w:rsid w:val="26E2015A"/>
    <w:rsid w:val="2A8568E5"/>
    <w:rsid w:val="2BB76496"/>
    <w:rsid w:val="2BFA1EAF"/>
    <w:rsid w:val="2C6F2A9B"/>
    <w:rsid w:val="2DAE72D7"/>
    <w:rsid w:val="2EA5532F"/>
    <w:rsid w:val="2F005CC6"/>
    <w:rsid w:val="32472EE9"/>
    <w:rsid w:val="385D5385"/>
    <w:rsid w:val="38FE7CA0"/>
    <w:rsid w:val="3AAA4C34"/>
    <w:rsid w:val="3DC226CC"/>
    <w:rsid w:val="3F5A260A"/>
    <w:rsid w:val="4156243A"/>
    <w:rsid w:val="422D2DDF"/>
    <w:rsid w:val="4251004E"/>
    <w:rsid w:val="434E2638"/>
    <w:rsid w:val="4551397C"/>
    <w:rsid w:val="4D5E4218"/>
    <w:rsid w:val="4E0C37ED"/>
    <w:rsid w:val="50A32C89"/>
    <w:rsid w:val="51631A61"/>
    <w:rsid w:val="51811D87"/>
    <w:rsid w:val="55DF7449"/>
    <w:rsid w:val="562E3764"/>
    <w:rsid w:val="591B48E3"/>
    <w:rsid w:val="5CBE0F3F"/>
    <w:rsid w:val="5CBE2215"/>
    <w:rsid w:val="5E3119E0"/>
    <w:rsid w:val="6F42173C"/>
    <w:rsid w:val="724B6C5D"/>
    <w:rsid w:val="747C2002"/>
    <w:rsid w:val="79B973D9"/>
    <w:rsid w:val="7A333E9D"/>
    <w:rsid w:val="7CB27599"/>
    <w:rsid w:val="7DDE7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2324</Words>
  <Characters>2378</Characters>
  <Lines>0</Lines>
  <Paragraphs>0</Paragraphs>
  <TotalTime>1</TotalTime>
  <ScaleCrop>false</ScaleCrop>
  <LinksUpToDate>false</LinksUpToDate>
  <CharactersWithSpaces>2546</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2023-01-10T03:36:00Z</dcterms:created>
  <dc:creator>刘静</dc:creator>
  <cp:lastModifiedBy>Administrator</cp:lastModifiedBy>
  <cp:lastPrinted>2023-01-13T02:26:01Z</cp:lastPrinted>
  <dcterms:modified xsi:type="dcterms:W3CDTF">2023-01-13T02:26:09Z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C01052445A684BD58B3CC01757A22B7B</vt:lpwstr>
  </property>
</Properties>
</file>