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侯马市住房和城乡建设管理局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2022年政府信息公开年度报告</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根据市政府的安排和要求，我局着眼于监理政务公开的长效机制，通过不断强化政务公开工作的系统化和经常化，使政务公开成为一种自觉的意识和行为。一是加强和完善领导机制。充实和调整政务公开工作领导小组，成立由局长任组长，分管领导任副组长，有关服饰负责人参加的政务公开工作领导小组，统一负责局政务公开工作的组织实施，强化“一把手挂帅、副职领导具体抓”的工作机制。二是建立健全制度。我局通过建立健全政务公开责任等制度，促进政务公开工作走上制度化、规范化的轨道。三是依托政府门户网站，推进网上政务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2126"/>
        <w:gridCol w:w="188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94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信息内容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本年新制作数量</w:t>
            </w:r>
          </w:p>
        </w:tc>
        <w:tc>
          <w:tcPr>
            <w:tcW w:w="1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本年新公开数量</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规章</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c>
          <w:tcPr>
            <w:tcW w:w="1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规范性文件</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c>
          <w:tcPr>
            <w:tcW w:w="1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94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信息内容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上一年项目数量</w:t>
            </w:r>
          </w:p>
        </w:tc>
        <w:tc>
          <w:tcPr>
            <w:tcW w:w="1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本年增/减</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行政许可</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lang w:val="en-US" w:eastAsia="zh-CN"/>
              </w:rPr>
            </w:pPr>
            <w:r>
              <w:rPr>
                <w:rFonts w:hint="eastAsia"/>
                <w:sz w:val="21"/>
                <w:szCs w:val="21"/>
                <w:vertAlign w:val="baseline"/>
                <w:lang w:val="en-US" w:eastAsia="zh-CN"/>
              </w:rPr>
              <w:t>0</w:t>
            </w:r>
          </w:p>
        </w:tc>
        <w:tc>
          <w:tcPr>
            <w:tcW w:w="1888"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c>
          <w:tcPr>
            <w:tcW w:w="1977"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其他对外管理服务事项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lang w:val="en-US" w:eastAsia="zh-CN"/>
              </w:rPr>
            </w:pPr>
            <w:r>
              <w:rPr>
                <w:rFonts w:hint="eastAsia"/>
                <w:sz w:val="21"/>
                <w:szCs w:val="21"/>
                <w:vertAlign w:val="baseline"/>
                <w:lang w:val="en-US" w:eastAsia="zh-CN"/>
              </w:rPr>
              <w:t>0</w:t>
            </w:r>
          </w:p>
        </w:tc>
        <w:tc>
          <w:tcPr>
            <w:tcW w:w="1888"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c>
          <w:tcPr>
            <w:tcW w:w="1977"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94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信息内容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上一年项目数量</w:t>
            </w:r>
          </w:p>
        </w:tc>
        <w:tc>
          <w:tcPr>
            <w:tcW w:w="1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本年增/减</w:t>
            </w:r>
          </w:p>
        </w:tc>
        <w:tc>
          <w:tcPr>
            <w:tcW w:w="19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行政处罚</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lang w:val="en-US" w:eastAsia="zh-CN"/>
              </w:rPr>
            </w:pPr>
            <w:r>
              <w:rPr>
                <w:rFonts w:hint="eastAsia"/>
                <w:sz w:val="21"/>
                <w:szCs w:val="21"/>
                <w:vertAlign w:val="baseline"/>
                <w:lang w:val="en-US" w:eastAsia="zh-CN"/>
              </w:rPr>
              <w:t>0</w:t>
            </w:r>
          </w:p>
        </w:tc>
        <w:tc>
          <w:tcPr>
            <w:tcW w:w="1888"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c>
          <w:tcPr>
            <w:tcW w:w="1977"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行政强制</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lang w:val="en-US" w:eastAsia="zh-CN"/>
              </w:rPr>
            </w:pPr>
            <w:r>
              <w:rPr>
                <w:rFonts w:hint="eastAsia"/>
                <w:sz w:val="21"/>
                <w:szCs w:val="21"/>
                <w:vertAlign w:val="baseline"/>
                <w:lang w:val="en-US" w:eastAsia="zh-CN"/>
              </w:rPr>
              <w:t>0</w:t>
            </w:r>
          </w:p>
        </w:tc>
        <w:tc>
          <w:tcPr>
            <w:tcW w:w="1888"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c>
          <w:tcPr>
            <w:tcW w:w="1977" w:type="dxa"/>
            <w:noWrap w:val="0"/>
            <w:vAlign w:val="center"/>
          </w:tcPr>
          <w:p>
            <w:pPr>
              <w:numPr>
                <w:ilvl w:val="0"/>
                <w:numId w:val="0"/>
              </w:numPr>
              <w:ind w:left="0" w:leftChars="0" w:firstLine="0" w:firstLineChars="0"/>
              <w:jc w:val="both"/>
              <w:rPr>
                <w:rFonts w:hint="eastAsia"/>
                <w:sz w:val="21"/>
                <w:szCs w:val="21"/>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94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信息内容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上一年项目数量</w:t>
            </w:r>
          </w:p>
        </w:tc>
        <w:tc>
          <w:tcPr>
            <w:tcW w:w="38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行政事业性收费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c>
          <w:tcPr>
            <w:tcW w:w="38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94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信息内容</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采购项目数量</w:t>
            </w:r>
          </w:p>
        </w:tc>
        <w:tc>
          <w:tcPr>
            <w:tcW w:w="38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29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sz w:val="21"/>
                <w:szCs w:val="21"/>
                <w:lang w:val="en-US" w:eastAsia="zh-CN"/>
              </w:rPr>
            </w:pPr>
            <w:r>
              <w:rPr>
                <w:rFonts w:hint="eastAsia"/>
                <w:sz w:val="21"/>
                <w:szCs w:val="21"/>
                <w:lang w:val="en-US" w:eastAsia="zh-CN"/>
              </w:rPr>
              <w:t>政府集中采购</w:t>
            </w:r>
          </w:p>
        </w:tc>
        <w:tc>
          <w:tcPr>
            <w:tcW w:w="21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12</w:t>
            </w:r>
          </w:p>
        </w:tc>
        <w:tc>
          <w:tcPr>
            <w:tcW w:w="38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sz w:val="21"/>
                <w:szCs w:val="21"/>
                <w:lang w:val="en-US" w:eastAsia="zh-CN"/>
              </w:rPr>
            </w:pPr>
            <w:r>
              <w:rPr>
                <w:rFonts w:hint="eastAsia"/>
                <w:sz w:val="21"/>
                <w:szCs w:val="21"/>
                <w:lang w:val="en-US" w:eastAsia="zh-CN"/>
              </w:rPr>
              <w:t>25.76万元</w:t>
            </w:r>
          </w:p>
        </w:tc>
      </w:tr>
    </w:tbl>
    <w:p>
      <w:pPr>
        <w:numPr>
          <w:ilvl w:val="0"/>
          <w:numId w:val="0"/>
        </w:numPr>
        <w:jc w:val="center"/>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911"/>
        <w:gridCol w:w="1685"/>
        <w:gridCol w:w="867"/>
        <w:gridCol w:w="545"/>
        <w:gridCol w:w="675"/>
        <w:gridCol w:w="900"/>
        <w:gridCol w:w="925"/>
        <w:gridCol w:w="588"/>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66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（本列数据的勾稽关系为：第一项加第二项之和，等于第三项加第四项之和）</w:t>
            </w:r>
          </w:p>
        </w:tc>
        <w:tc>
          <w:tcPr>
            <w:tcW w:w="5165" w:type="dxa"/>
            <w:gridSpan w:val="7"/>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661" w:type="dxa"/>
            <w:gridSpan w:val="3"/>
            <w:vMerge w:val="continue"/>
            <w:noWrap w:val="0"/>
            <w:vAlign w:val="center"/>
          </w:tcPr>
          <w:p>
            <w:pPr>
              <w:numPr>
                <w:ilvl w:val="0"/>
                <w:numId w:val="0"/>
              </w:numPr>
              <w:jc w:val="both"/>
              <w:rPr>
                <w:rFonts w:hint="eastAsia"/>
                <w:sz w:val="21"/>
                <w:szCs w:val="21"/>
                <w:vertAlign w:val="baseline"/>
                <w:lang w:val="en-US" w:eastAsia="zh-CN"/>
              </w:rPr>
            </w:pPr>
          </w:p>
        </w:tc>
        <w:tc>
          <w:tcPr>
            <w:tcW w:w="867"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自然人</w:t>
            </w:r>
          </w:p>
        </w:tc>
        <w:tc>
          <w:tcPr>
            <w:tcW w:w="3633" w:type="dxa"/>
            <w:gridSpan w:val="5"/>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法人或其他组织</w:t>
            </w:r>
          </w:p>
        </w:tc>
        <w:tc>
          <w:tcPr>
            <w:tcW w:w="665" w:type="dxa"/>
            <w:vMerge w:val="restart"/>
            <w:noWrap w:val="0"/>
            <w:vAlign w:val="center"/>
          </w:tcPr>
          <w:p>
            <w:pPr>
              <w:numPr>
                <w:ilvl w:val="0"/>
                <w:numId w:val="0"/>
              </w:numPr>
              <w:jc w:val="both"/>
              <w:rPr>
                <w:rFonts w:hint="eastAsia"/>
                <w:sz w:val="21"/>
                <w:szCs w:val="21"/>
                <w:vertAlign w:val="baseline"/>
                <w:lang w:val="en-US" w:eastAsia="zh-CN"/>
              </w:rPr>
            </w:pPr>
            <w:r>
              <w:rPr>
                <w:rFonts w:hint="eastAsia"/>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661" w:type="dxa"/>
            <w:gridSpan w:val="3"/>
            <w:vMerge w:val="continue"/>
            <w:noWrap w:val="0"/>
            <w:vAlign w:val="center"/>
          </w:tcPr>
          <w:p>
            <w:pPr>
              <w:numPr>
                <w:ilvl w:val="0"/>
                <w:numId w:val="0"/>
              </w:numPr>
              <w:jc w:val="both"/>
              <w:rPr>
                <w:rFonts w:hint="eastAsia"/>
                <w:sz w:val="21"/>
                <w:szCs w:val="21"/>
                <w:vertAlign w:val="baseline"/>
                <w:lang w:val="en-US" w:eastAsia="zh-CN"/>
              </w:rPr>
            </w:pPr>
          </w:p>
        </w:tc>
        <w:tc>
          <w:tcPr>
            <w:tcW w:w="867" w:type="dxa"/>
            <w:vMerge w:val="continue"/>
            <w:noWrap w:val="0"/>
            <w:vAlign w:val="center"/>
          </w:tcPr>
          <w:p>
            <w:pPr>
              <w:numPr>
                <w:ilvl w:val="0"/>
                <w:numId w:val="0"/>
              </w:numPr>
              <w:jc w:val="both"/>
              <w:rPr>
                <w:rFonts w:hint="eastAsia"/>
                <w:sz w:val="21"/>
                <w:szCs w:val="21"/>
                <w:vertAlign w:val="baseline"/>
                <w:lang w:val="en-US" w:eastAsia="zh-CN"/>
              </w:rPr>
            </w:pPr>
          </w:p>
        </w:tc>
        <w:tc>
          <w:tcPr>
            <w:tcW w:w="5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商业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企业</w:t>
            </w:r>
          </w:p>
        </w:tc>
        <w:tc>
          <w:tcPr>
            <w:tcW w:w="6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科研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机构</w:t>
            </w:r>
          </w:p>
        </w:tc>
        <w:tc>
          <w:tcPr>
            <w:tcW w:w="9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社会公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益组织</w:t>
            </w:r>
          </w:p>
        </w:tc>
        <w:tc>
          <w:tcPr>
            <w:tcW w:w="9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法律服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务机构</w:t>
            </w:r>
          </w:p>
        </w:tc>
        <w:tc>
          <w:tcPr>
            <w:tcW w:w="5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vertAlign w:val="baseline"/>
                <w:lang w:val="en-US" w:eastAsia="zh-CN"/>
              </w:rPr>
            </w:pPr>
            <w:r>
              <w:rPr>
                <w:rFonts w:hint="eastAsia"/>
                <w:sz w:val="21"/>
                <w:szCs w:val="21"/>
                <w:vertAlign w:val="baseline"/>
                <w:lang w:val="en-US" w:eastAsia="zh-CN"/>
              </w:rPr>
              <w:t>其他</w:t>
            </w:r>
          </w:p>
        </w:tc>
        <w:tc>
          <w:tcPr>
            <w:tcW w:w="665" w:type="dxa"/>
            <w:vMerge w:val="continue"/>
            <w:noWrap w:val="0"/>
            <w:vAlign w:val="center"/>
          </w:tcPr>
          <w:p>
            <w:pPr>
              <w:numPr>
                <w:ilvl w:val="0"/>
                <w:numId w:val="0"/>
              </w:numPr>
              <w:jc w:val="both"/>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61" w:type="dxa"/>
            <w:gridSpan w:val="3"/>
            <w:noWrap w:val="0"/>
            <w:vAlign w:val="center"/>
          </w:tcPr>
          <w:p>
            <w:pPr>
              <w:numPr>
                <w:ilvl w:val="0"/>
                <w:numId w:val="0"/>
              </w:numPr>
              <w:jc w:val="both"/>
              <w:rPr>
                <w:rFonts w:hint="eastAsia"/>
                <w:sz w:val="21"/>
                <w:szCs w:val="21"/>
                <w:vertAlign w:val="baseline"/>
                <w:lang w:val="en-US" w:eastAsia="zh-CN"/>
              </w:rPr>
            </w:pPr>
            <w:r>
              <w:rPr>
                <w:rFonts w:hint="eastAsia"/>
                <w:sz w:val="21"/>
                <w:szCs w:val="21"/>
                <w:vertAlign w:val="baseline"/>
                <w:lang w:val="en-US" w:eastAsia="zh-CN"/>
              </w:rPr>
              <w:t>一、本年新收政府信息公开申请数量</w:t>
            </w:r>
          </w:p>
        </w:tc>
        <w:tc>
          <w:tcPr>
            <w:tcW w:w="867"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w:t>
            </w:r>
          </w:p>
        </w:tc>
        <w:tc>
          <w:tcPr>
            <w:tcW w:w="54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61" w:type="dxa"/>
            <w:gridSpan w:val="3"/>
            <w:noWrap w:val="0"/>
            <w:vAlign w:val="center"/>
          </w:tcPr>
          <w:p>
            <w:pPr>
              <w:numPr>
                <w:ilvl w:val="0"/>
                <w:numId w:val="0"/>
              </w:numPr>
              <w:jc w:val="both"/>
              <w:rPr>
                <w:rFonts w:hint="eastAsia"/>
                <w:sz w:val="21"/>
                <w:szCs w:val="21"/>
                <w:vertAlign w:val="baseline"/>
                <w:lang w:val="en-US" w:eastAsia="zh-CN"/>
              </w:rPr>
            </w:pPr>
            <w:r>
              <w:rPr>
                <w:rFonts w:hint="eastAsia"/>
                <w:sz w:val="21"/>
                <w:szCs w:val="21"/>
                <w:vertAlign w:val="baseline"/>
                <w:lang w:val="en-US" w:eastAsia="zh-CN"/>
              </w:rPr>
              <w:t>二、上年结转政府信息公开申请数量</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65"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三、</w:t>
            </w:r>
          </w:p>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本年</w:t>
            </w:r>
          </w:p>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度办</w:t>
            </w:r>
          </w:p>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理结</w:t>
            </w:r>
          </w:p>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果</w:t>
            </w:r>
          </w:p>
        </w:tc>
        <w:tc>
          <w:tcPr>
            <w:tcW w:w="2596" w:type="dxa"/>
            <w:gridSpan w:val="2"/>
            <w:noWrap w:val="0"/>
            <w:vAlign w:val="center"/>
          </w:tcPr>
          <w:p>
            <w:pPr>
              <w:numPr>
                <w:ilvl w:val="0"/>
                <w:numId w:val="0"/>
              </w:numPr>
              <w:jc w:val="both"/>
              <w:rPr>
                <w:rFonts w:hint="eastAsia"/>
                <w:sz w:val="21"/>
                <w:szCs w:val="21"/>
                <w:vertAlign w:val="baseline"/>
                <w:lang w:val="en-US" w:eastAsia="zh-CN"/>
              </w:rPr>
            </w:pPr>
            <w:r>
              <w:rPr>
                <w:rFonts w:hint="eastAsia"/>
                <w:sz w:val="21"/>
                <w:szCs w:val="21"/>
                <w:vertAlign w:val="baseline"/>
                <w:lang w:val="en-US" w:eastAsia="zh-CN"/>
              </w:rPr>
              <w:t>（一）予以公开</w:t>
            </w:r>
          </w:p>
        </w:tc>
        <w:tc>
          <w:tcPr>
            <w:tcW w:w="867"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w:t>
            </w:r>
          </w:p>
        </w:tc>
        <w:tc>
          <w:tcPr>
            <w:tcW w:w="54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259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（二）部分公开（区分处理的，只计这一情形，不计其他情形）</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不予公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开</w:t>
            </w: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1.属于国家秘密</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2.其他法律行政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法规禁止公开</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3.危及“三安全一稳定”</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4.保护第三方合法权益</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5.属于三类内部事务信息</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6.属于四类过程性信息</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7.属于行政执法案卷</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8.属于行政查询事项</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无法提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供</w:t>
            </w: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1.本机关不掌握相关政府信息</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2.没有现成信息需要另行制作</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3.补正后申请内容仍不明确</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不予处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理</w:t>
            </w: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1.信访举报投诉类申请</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2.重复申请</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sz w:val="21"/>
                <w:szCs w:val="21"/>
                <w:vertAlign w:val="baseline"/>
                <w:lang w:val="en-US" w:eastAsia="zh-CN"/>
              </w:rPr>
            </w:pPr>
            <w:r>
              <w:rPr>
                <w:rFonts w:hint="eastAsia"/>
                <w:sz w:val="21"/>
                <w:szCs w:val="21"/>
                <w:vertAlign w:val="baseline"/>
                <w:lang w:val="en-US" w:eastAsia="zh-CN"/>
              </w:rPr>
              <w:t>1</w:t>
            </w:r>
          </w:p>
        </w:tc>
        <w:tc>
          <w:tcPr>
            <w:tcW w:w="54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3.要求提供公开出版物</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4.无正当理由大量反复申请</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9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p>
        </w:tc>
        <w:tc>
          <w:tcPr>
            <w:tcW w:w="16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5.要求行政机关确认或重新出具已获取信息</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259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（六）其他处理</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65" w:type="dxa"/>
            <w:vMerge w:val="continue"/>
            <w:noWrap w:val="0"/>
            <w:vAlign w:val="center"/>
          </w:tcPr>
          <w:p>
            <w:pPr>
              <w:numPr>
                <w:ilvl w:val="0"/>
                <w:numId w:val="0"/>
              </w:numPr>
              <w:jc w:val="both"/>
              <w:rPr>
                <w:rFonts w:hint="eastAsia"/>
                <w:sz w:val="21"/>
                <w:szCs w:val="21"/>
                <w:vertAlign w:val="baseline"/>
                <w:lang w:val="en-US" w:eastAsia="zh-CN"/>
              </w:rPr>
            </w:pPr>
          </w:p>
        </w:tc>
        <w:tc>
          <w:tcPr>
            <w:tcW w:w="259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（七）总计</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ind w:left="0" w:leftChars="0" w:firstLine="0" w:firstLineChars="0"/>
              <w:jc w:val="both"/>
              <w:rPr>
                <w:rFonts w:hint="eastAsia"/>
                <w:sz w:val="21"/>
                <w:szCs w:val="21"/>
                <w:vertAlign w:val="baseline"/>
                <w:lang w:val="en-US" w:eastAsia="zh-CN"/>
              </w:rPr>
            </w:pPr>
            <w:r>
              <w:rPr>
                <w:rFonts w:hint="eastAsia"/>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366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lang w:val="en-US" w:eastAsia="zh-CN"/>
              </w:rPr>
            </w:pPr>
            <w:r>
              <w:rPr>
                <w:rFonts w:hint="eastAsia"/>
                <w:sz w:val="21"/>
                <w:szCs w:val="21"/>
                <w:vertAlign w:val="baseline"/>
                <w:lang w:val="en-US" w:eastAsia="zh-CN"/>
              </w:rPr>
              <w:t>四、结转下年度继续办理</w:t>
            </w:r>
          </w:p>
        </w:tc>
        <w:tc>
          <w:tcPr>
            <w:tcW w:w="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sz w:val="21"/>
                <w:szCs w:val="21"/>
                <w:vertAlign w:val="baseline"/>
                <w:lang w:val="en-US" w:eastAsia="zh-CN"/>
              </w:rPr>
            </w:pPr>
            <w:r>
              <w:rPr>
                <w:rFonts w:hint="eastAsia"/>
                <w:sz w:val="21"/>
                <w:szCs w:val="21"/>
                <w:vertAlign w:val="baseline"/>
                <w:lang w:val="en-US" w:eastAsia="zh-CN"/>
              </w:rPr>
              <w:t>0</w:t>
            </w:r>
          </w:p>
        </w:tc>
        <w:tc>
          <w:tcPr>
            <w:tcW w:w="54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7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00"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92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588"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c>
          <w:tcPr>
            <w:tcW w:w="665" w:type="dxa"/>
            <w:noWrap w:val="0"/>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65" w:beforeLines="50" w:after="165" w:afterLines="50" w:line="240" w:lineRule="auto"/>
        <w:ind w:left="0" w:leftChars="0" w:right="0" w:rightChars="0" w:firstLine="0" w:firstLineChars="0"/>
        <w:jc w:val="left"/>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99"/>
        <w:gridCol w:w="601"/>
        <w:gridCol w:w="598"/>
        <w:gridCol w:w="601"/>
        <w:gridCol w:w="601"/>
        <w:gridCol w:w="600"/>
        <w:gridCol w:w="600"/>
        <w:gridCol w:w="599"/>
        <w:gridCol w:w="603"/>
        <w:gridCol w:w="595"/>
        <w:gridCol w:w="582"/>
        <w:gridCol w:w="576"/>
        <w:gridCol w:w="567"/>
        <w:gridCol w:w="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999" w:type="dxa"/>
            <w:gridSpan w:val="5"/>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行政复议</w:t>
            </w:r>
          </w:p>
        </w:tc>
        <w:tc>
          <w:tcPr>
            <w:tcW w:w="5821" w:type="dxa"/>
            <w:gridSpan w:val="10"/>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00"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结果维持</w:t>
            </w:r>
          </w:p>
        </w:tc>
        <w:tc>
          <w:tcPr>
            <w:tcW w:w="599"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结果纠正</w:t>
            </w:r>
          </w:p>
        </w:tc>
        <w:tc>
          <w:tcPr>
            <w:tcW w:w="601"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其他结果</w:t>
            </w:r>
          </w:p>
        </w:tc>
        <w:tc>
          <w:tcPr>
            <w:tcW w:w="598"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尚未审结</w:t>
            </w:r>
          </w:p>
        </w:tc>
        <w:tc>
          <w:tcPr>
            <w:tcW w:w="601" w:type="dxa"/>
            <w:vMerge w:val="restart"/>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总计</w:t>
            </w:r>
          </w:p>
        </w:tc>
        <w:tc>
          <w:tcPr>
            <w:tcW w:w="3003" w:type="dxa"/>
            <w:gridSpan w:val="5"/>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未经复议直接起诉</w:t>
            </w:r>
          </w:p>
        </w:tc>
        <w:tc>
          <w:tcPr>
            <w:tcW w:w="2818" w:type="dxa"/>
            <w:gridSpan w:val="5"/>
            <w:noWrap w:val="0"/>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00" w:type="dxa"/>
            <w:vMerge w:val="continue"/>
            <w:noWrap w:val="0"/>
            <w:vAlign w:val="center"/>
          </w:tcPr>
          <w:p>
            <w:pPr>
              <w:numPr>
                <w:ilvl w:val="0"/>
                <w:numId w:val="0"/>
              </w:numPr>
              <w:jc w:val="center"/>
              <w:rPr>
                <w:rFonts w:hint="eastAsia"/>
                <w:sz w:val="21"/>
                <w:szCs w:val="21"/>
                <w:vertAlign w:val="baseline"/>
                <w:lang w:val="en-US" w:eastAsia="zh-CN"/>
              </w:rPr>
            </w:pPr>
          </w:p>
        </w:tc>
        <w:tc>
          <w:tcPr>
            <w:tcW w:w="599" w:type="dxa"/>
            <w:vMerge w:val="continue"/>
            <w:noWrap w:val="0"/>
            <w:vAlign w:val="center"/>
          </w:tcPr>
          <w:p>
            <w:pPr>
              <w:numPr>
                <w:ilvl w:val="0"/>
                <w:numId w:val="0"/>
              </w:numPr>
              <w:jc w:val="center"/>
              <w:rPr>
                <w:rFonts w:hint="eastAsia"/>
                <w:sz w:val="21"/>
                <w:szCs w:val="21"/>
                <w:vertAlign w:val="baseline"/>
                <w:lang w:val="en-US" w:eastAsia="zh-CN"/>
              </w:rPr>
            </w:pPr>
          </w:p>
        </w:tc>
        <w:tc>
          <w:tcPr>
            <w:tcW w:w="601" w:type="dxa"/>
            <w:vMerge w:val="continue"/>
            <w:noWrap w:val="0"/>
            <w:vAlign w:val="center"/>
          </w:tcPr>
          <w:p>
            <w:pPr>
              <w:numPr>
                <w:ilvl w:val="0"/>
                <w:numId w:val="0"/>
              </w:numPr>
              <w:jc w:val="center"/>
              <w:rPr>
                <w:rFonts w:hint="eastAsia"/>
                <w:sz w:val="21"/>
                <w:szCs w:val="21"/>
                <w:vertAlign w:val="baseline"/>
                <w:lang w:val="en-US" w:eastAsia="zh-CN"/>
              </w:rPr>
            </w:pPr>
          </w:p>
        </w:tc>
        <w:tc>
          <w:tcPr>
            <w:tcW w:w="598" w:type="dxa"/>
            <w:vMerge w:val="continue"/>
            <w:noWrap w:val="0"/>
            <w:vAlign w:val="center"/>
          </w:tcPr>
          <w:p>
            <w:pPr>
              <w:numPr>
                <w:ilvl w:val="0"/>
                <w:numId w:val="0"/>
              </w:numPr>
              <w:jc w:val="center"/>
              <w:rPr>
                <w:rFonts w:hint="eastAsia"/>
                <w:sz w:val="21"/>
                <w:szCs w:val="21"/>
                <w:vertAlign w:val="baseline"/>
                <w:lang w:val="en-US" w:eastAsia="zh-CN"/>
              </w:rPr>
            </w:pPr>
          </w:p>
        </w:tc>
        <w:tc>
          <w:tcPr>
            <w:tcW w:w="601" w:type="dxa"/>
            <w:vMerge w:val="continue"/>
            <w:noWrap w:val="0"/>
            <w:vAlign w:val="center"/>
          </w:tcPr>
          <w:p>
            <w:pPr>
              <w:numPr>
                <w:ilvl w:val="0"/>
                <w:numId w:val="0"/>
              </w:numPr>
              <w:jc w:val="center"/>
              <w:rPr>
                <w:rFonts w:hint="eastAsia"/>
                <w:sz w:val="21"/>
                <w:szCs w:val="21"/>
                <w:vertAlign w:val="baseline"/>
                <w:lang w:val="en-US" w:eastAsia="zh-CN"/>
              </w:rPr>
            </w:pPr>
          </w:p>
        </w:tc>
        <w:tc>
          <w:tcPr>
            <w:tcW w:w="601"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结果维持</w:t>
            </w:r>
          </w:p>
        </w:tc>
        <w:tc>
          <w:tcPr>
            <w:tcW w:w="600"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结果纠正</w:t>
            </w:r>
          </w:p>
        </w:tc>
        <w:tc>
          <w:tcPr>
            <w:tcW w:w="600"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其他结果</w:t>
            </w:r>
          </w:p>
        </w:tc>
        <w:tc>
          <w:tcPr>
            <w:tcW w:w="599"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尚未审结</w:t>
            </w:r>
          </w:p>
        </w:tc>
        <w:tc>
          <w:tcPr>
            <w:tcW w:w="603"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总计</w:t>
            </w:r>
          </w:p>
        </w:tc>
        <w:tc>
          <w:tcPr>
            <w:tcW w:w="595"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结果维持</w:t>
            </w:r>
          </w:p>
        </w:tc>
        <w:tc>
          <w:tcPr>
            <w:tcW w:w="582"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结果纠正</w:t>
            </w:r>
          </w:p>
        </w:tc>
        <w:tc>
          <w:tcPr>
            <w:tcW w:w="576"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其他结果</w:t>
            </w:r>
          </w:p>
        </w:tc>
        <w:tc>
          <w:tcPr>
            <w:tcW w:w="567"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尚未审结</w:t>
            </w:r>
          </w:p>
        </w:tc>
        <w:tc>
          <w:tcPr>
            <w:tcW w:w="498" w:type="dxa"/>
            <w:noWrap w:val="0"/>
            <w:vAlign w:val="center"/>
          </w:tcPr>
          <w:p>
            <w:pPr>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00"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99"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601"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98"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601"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601"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600"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600"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99"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603"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95"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82"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76"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567"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c>
          <w:tcPr>
            <w:tcW w:w="498" w:type="dxa"/>
            <w:noWrap w:val="0"/>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0</w:t>
            </w:r>
          </w:p>
        </w:tc>
      </w:tr>
    </w:tbl>
    <w:p>
      <w:pPr>
        <w:numPr>
          <w:ilvl w:val="0"/>
          <w:numId w:val="0"/>
        </w:numPr>
        <w:jc w:val="left"/>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我局的政府信息公开工作取得了一定的进展，但扔存在一定的差距。下阶段，我局将进一步完善信息公开制度，强化信息公开的责任意识和服务意识，确保政务信息公开工作及时、准确；进一步拓宽信息公开渠道，认真接受社会公众对住建局信息公开情况的监督，及时听取、吸纳群众的意见建议；进一步开展宣传教育活动，围绕住建领域相关法律法规政策及政府信息公开制度和内容开展形式多样的宣传教育，扩大社会参与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六、其他需要汇报的事项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侯马市住房和城乡建设管理局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2023年1月16日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NGNhMDkxZmNlYWI5NzIxNmZmOTNiMTViMzA3ZTMifQ=="/>
  </w:docVars>
  <w:rsids>
    <w:rsidRoot w:val="00000000"/>
    <w:rsid w:val="2BAF0E4F"/>
    <w:rsid w:val="3DAA2C12"/>
    <w:rsid w:val="4D57122E"/>
    <w:rsid w:val="61315247"/>
    <w:rsid w:val="67D529E7"/>
    <w:rsid w:val="7D894966"/>
    <w:rsid w:val="7E1C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1230</Words>
  <Characters>1261</Characters>
  <Lines>0</Lines>
  <Paragraphs>0</Paragraphs>
  <TotalTime>0</TotalTime>
  <ScaleCrop>false</ScaleCrop>
  <LinksUpToDate>false</LinksUpToDate>
  <CharactersWithSpaces>1261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2023-01-17T08:17:00Z</dcterms:created>
  <dc:creator>Administrator</dc:creator>
  <cp:lastModifiedBy>雨晨</cp:lastModifiedBy>
  <cp:lastPrinted>2023-01-18T08:04:00Z</cp:lastPrinted>
  <dcterms:modified xsi:type="dcterms:W3CDTF">2023-01-30T01:56:04Z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F8A4D3B7878F40A4BEBEA6DEC406C089</vt:lpwstr>
  </property>
</Properties>
</file>