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侯马市住房和城乡建设管理局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2022年政府信息公开年度报告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根据市政府的安排和要求，我局着眼于监理政务公开的长效机制，通过不断强化政务公开工作的系统化和经常化，使政务公开成为一种自觉的意识和行为。一是加强和完善领导机制。充实和调整政务公开工作领导小组，成立由局长任组长，分管领导任副组长，有关服饰负责人参加的政务公开工作领导小组，统一负责局政务公开工作的组织实施，强化“一把手挂帅、副职领导具体抓”的工作机制。二是建立健全制度。我局通过建立健全政务公开责任等制度，促进政务公开工作走上制度化、规范化的轨道。三是依托政府门户网站，推进网上政务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2126"/>
        <w:gridCol w:w="1888"/>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信息内容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本年新制作数量</w:t>
            </w:r>
          </w:p>
        </w:tc>
        <w:tc>
          <w:tcPr>
            <w:tcW w:w="18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本年新公开数量</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规章</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c>
          <w:tcPr>
            <w:tcW w:w="18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规范性文件</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c>
          <w:tcPr>
            <w:tcW w:w="18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信息内容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上一年项目数量</w:t>
            </w:r>
          </w:p>
        </w:tc>
        <w:tc>
          <w:tcPr>
            <w:tcW w:w="18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本年增/减</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行政许可</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lang w:val="en-US" w:eastAsia="zh-CN"/>
              </w:rPr>
            </w:pPr>
            <w:r>
              <w:rPr>
                <w:rFonts w:hint="eastAsia"/>
                <w:sz w:val="21"/>
                <w:szCs w:val="21"/>
                <w:vertAlign w:val="baseline"/>
                <w:lang w:val="en-US" w:eastAsia="zh-CN"/>
              </w:rPr>
              <w:t>0</w:t>
            </w:r>
          </w:p>
        </w:tc>
        <w:tc>
          <w:tcPr>
            <w:tcW w:w="1888"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c>
          <w:tcPr>
            <w:tcW w:w="1977"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其他对外管理服务事项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lang w:val="en-US" w:eastAsia="zh-CN"/>
              </w:rPr>
            </w:pPr>
            <w:r>
              <w:rPr>
                <w:rFonts w:hint="eastAsia"/>
                <w:sz w:val="21"/>
                <w:szCs w:val="21"/>
                <w:vertAlign w:val="baseline"/>
                <w:lang w:val="en-US" w:eastAsia="zh-CN"/>
              </w:rPr>
              <w:t>0</w:t>
            </w:r>
          </w:p>
        </w:tc>
        <w:tc>
          <w:tcPr>
            <w:tcW w:w="1888"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c>
          <w:tcPr>
            <w:tcW w:w="1977"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信息内容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上一年项目数量</w:t>
            </w:r>
          </w:p>
        </w:tc>
        <w:tc>
          <w:tcPr>
            <w:tcW w:w="18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本年增/减</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行政处罚</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lang w:val="en-US" w:eastAsia="zh-CN"/>
              </w:rPr>
            </w:pPr>
            <w:r>
              <w:rPr>
                <w:rFonts w:hint="eastAsia"/>
                <w:sz w:val="21"/>
                <w:szCs w:val="21"/>
                <w:vertAlign w:val="baseline"/>
                <w:lang w:val="en-US" w:eastAsia="zh-CN"/>
              </w:rPr>
              <w:t>0</w:t>
            </w:r>
          </w:p>
        </w:tc>
        <w:tc>
          <w:tcPr>
            <w:tcW w:w="1888"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c>
          <w:tcPr>
            <w:tcW w:w="1977"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行政强制</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lang w:val="en-US" w:eastAsia="zh-CN"/>
              </w:rPr>
            </w:pPr>
            <w:r>
              <w:rPr>
                <w:rFonts w:hint="eastAsia"/>
                <w:sz w:val="21"/>
                <w:szCs w:val="21"/>
                <w:vertAlign w:val="baseline"/>
                <w:lang w:val="en-US" w:eastAsia="zh-CN"/>
              </w:rPr>
              <w:t>0</w:t>
            </w:r>
          </w:p>
        </w:tc>
        <w:tc>
          <w:tcPr>
            <w:tcW w:w="1888"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c>
          <w:tcPr>
            <w:tcW w:w="1977" w:type="dxa"/>
            <w:noWrap w:val="0"/>
            <w:vAlign w:val="center"/>
          </w:tcPr>
          <w:p>
            <w:pPr>
              <w:numPr>
                <w:ilvl w:val="0"/>
                <w:numId w:val="0"/>
              </w:numPr>
              <w:ind w:left="0" w:leftChars="0" w:firstLine="0" w:firstLineChars="0"/>
              <w:jc w:val="both"/>
              <w:rPr>
                <w:rFonts w:hint="eastAsia"/>
                <w:sz w:val="21"/>
                <w:szCs w:val="21"/>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信息内容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上一年项目数量</w:t>
            </w:r>
          </w:p>
        </w:tc>
        <w:tc>
          <w:tcPr>
            <w:tcW w:w="38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行政事业性收费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c>
          <w:tcPr>
            <w:tcW w:w="38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894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信息内容</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采购项目数量</w:t>
            </w:r>
          </w:p>
        </w:tc>
        <w:tc>
          <w:tcPr>
            <w:tcW w:w="38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294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政府集中采购</w:t>
            </w:r>
          </w:p>
        </w:tc>
        <w:tc>
          <w:tcPr>
            <w:tcW w:w="212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12</w:t>
            </w:r>
          </w:p>
        </w:tc>
        <w:tc>
          <w:tcPr>
            <w:tcW w:w="38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sz w:val="21"/>
                <w:szCs w:val="21"/>
                <w:lang w:val="en-US" w:eastAsia="zh-CN"/>
              </w:rPr>
            </w:pPr>
            <w:r>
              <w:rPr>
                <w:rFonts w:hint="eastAsia"/>
                <w:sz w:val="21"/>
                <w:szCs w:val="21"/>
                <w:lang w:val="en-US" w:eastAsia="zh-CN"/>
              </w:rPr>
              <w:t>25.76万元</w:t>
            </w:r>
          </w:p>
        </w:tc>
      </w:tr>
    </w:tbl>
    <w:p>
      <w:pPr>
        <w:numPr>
          <w:ilvl w:val="0"/>
          <w:numId w:val="0"/>
        </w:numPr>
        <w:jc w:val="center"/>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11"/>
        <w:gridCol w:w="1685"/>
        <w:gridCol w:w="867"/>
        <w:gridCol w:w="545"/>
        <w:gridCol w:w="675"/>
        <w:gridCol w:w="900"/>
        <w:gridCol w:w="925"/>
        <w:gridCol w:w="58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661" w:type="dxa"/>
            <w:gridSpan w:val="3"/>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（本列数据的勾稽关系为：第一项加第二项之和，等于第三项加第四项之和）</w:t>
            </w:r>
          </w:p>
        </w:tc>
        <w:tc>
          <w:tcPr>
            <w:tcW w:w="5165" w:type="dxa"/>
            <w:gridSpan w:val="7"/>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661" w:type="dxa"/>
            <w:gridSpan w:val="3"/>
            <w:vMerge w:val="continue"/>
            <w:noWrap w:val="0"/>
            <w:vAlign w:val="center"/>
          </w:tcPr>
          <w:p>
            <w:pPr>
              <w:numPr>
                <w:ilvl w:val="0"/>
                <w:numId w:val="0"/>
              </w:numPr>
              <w:jc w:val="both"/>
              <w:rPr>
                <w:rFonts w:hint="eastAsia"/>
                <w:sz w:val="21"/>
                <w:szCs w:val="21"/>
                <w:vertAlign w:val="baseline"/>
                <w:lang w:val="en-US" w:eastAsia="zh-CN"/>
              </w:rPr>
            </w:pPr>
          </w:p>
        </w:tc>
        <w:tc>
          <w:tcPr>
            <w:tcW w:w="867"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自然人</w:t>
            </w:r>
          </w:p>
        </w:tc>
        <w:tc>
          <w:tcPr>
            <w:tcW w:w="3633" w:type="dxa"/>
            <w:gridSpan w:val="5"/>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法人或其他组织</w:t>
            </w:r>
          </w:p>
        </w:tc>
        <w:tc>
          <w:tcPr>
            <w:tcW w:w="665" w:type="dxa"/>
            <w:vMerge w:val="restart"/>
            <w:noWrap w:val="0"/>
            <w:vAlign w:val="center"/>
          </w:tcPr>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661" w:type="dxa"/>
            <w:gridSpan w:val="3"/>
            <w:vMerge w:val="continue"/>
            <w:noWrap w:val="0"/>
            <w:vAlign w:val="center"/>
          </w:tcPr>
          <w:p>
            <w:pPr>
              <w:numPr>
                <w:ilvl w:val="0"/>
                <w:numId w:val="0"/>
              </w:numPr>
              <w:jc w:val="both"/>
              <w:rPr>
                <w:rFonts w:hint="eastAsia"/>
                <w:sz w:val="21"/>
                <w:szCs w:val="21"/>
                <w:vertAlign w:val="baseline"/>
                <w:lang w:val="en-US" w:eastAsia="zh-CN"/>
              </w:rPr>
            </w:pPr>
          </w:p>
        </w:tc>
        <w:tc>
          <w:tcPr>
            <w:tcW w:w="867" w:type="dxa"/>
            <w:vMerge w:val="continue"/>
            <w:noWrap w:val="0"/>
            <w:vAlign w:val="center"/>
          </w:tcPr>
          <w:p>
            <w:pPr>
              <w:numPr>
                <w:ilvl w:val="0"/>
                <w:numId w:val="0"/>
              </w:numPr>
              <w:jc w:val="both"/>
              <w:rPr>
                <w:rFonts w:hint="eastAsia"/>
                <w:sz w:val="21"/>
                <w:szCs w:val="21"/>
                <w:vertAlign w:val="baseline"/>
                <w:lang w:val="en-US" w:eastAsia="zh-CN"/>
              </w:rPr>
            </w:pPr>
          </w:p>
        </w:tc>
        <w:tc>
          <w:tcPr>
            <w:tcW w:w="5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商业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企业</w:t>
            </w:r>
          </w:p>
        </w:tc>
        <w:tc>
          <w:tcPr>
            <w:tcW w:w="6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科研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机构</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社会公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益组织</w:t>
            </w:r>
          </w:p>
        </w:tc>
        <w:tc>
          <w:tcPr>
            <w:tcW w:w="9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法律服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务机构</w:t>
            </w:r>
          </w:p>
        </w:tc>
        <w:tc>
          <w:tcPr>
            <w:tcW w:w="5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sz w:val="21"/>
                <w:szCs w:val="21"/>
                <w:vertAlign w:val="baseline"/>
                <w:lang w:val="en-US" w:eastAsia="zh-CN"/>
              </w:rPr>
            </w:pPr>
            <w:r>
              <w:rPr>
                <w:rFonts w:hint="eastAsia"/>
                <w:sz w:val="21"/>
                <w:szCs w:val="21"/>
                <w:vertAlign w:val="baseline"/>
                <w:lang w:val="en-US" w:eastAsia="zh-CN"/>
              </w:rPr>
              <w:t>其他</w:t>
            </w:r>
          </w:p>
        </w:tc>
        <w:tc>
          <w:tcPr>
            <w:tcW w:w="665" w:type="dxa"/>
            <w:vMerge w:val="continue"/>
            <w:noWrap w:val="0"/>
            <w:vAlign w:val="center"/>
          </w:tcPr>
          <w:p>
            <w:pPr>
              <w:numPr>
                <w:ilvl w:val="0"/>
                <w:numId w:val="0"/>
              </w:numPr>
              <w:jc w:val="both"/>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661" w:type="dxa"/>
            <w:gridSpan w:val="3"/>
            <w:noWrap w:val="0"/>
            <w:vAlign w:val="center"/>
          </w:tcPr>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一、本年新收政府信息公开申请数量</w:t>
            </w:r>
          </w:p>
        </w:tc>
        <w:tc>
          <w:tcPr>
            <w:tcW w:w="867"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1</w:t>
            </w:r>
          </w:p>
        </w:tc>
        <w:tc>
          <w:tcPr>
            <w:tcW w:w="54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61" w:type="dxa"/>
            <w:gridSpan w:val="3"/>
            <w:noWrap w:val="0"/>
            <w:vAlign w:val="center"/>
          </w:tcPr>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二、上年结转政府信息公开申请数量</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065"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三、</w:t>
            </w:r>
          </w:p>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本年</w:t>
            </w:r>
          </w:p>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度办</w:t>
            </w:r>
          </w:p>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理结</w:t>
            </w:r>
          </w:p>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果</w:t>
            </w:r>
          </w:p>
        </w:tc>
        <w:tc>
          <w:tcPr>
            <w:tcW w:w="2596" w:type="dxa"/>
            <w:gridSpan w:val="2"/>
            <w:noWrap w:val="0"/>
            <w:vAlign w:val="center"/>
          </w:tcPr>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（一）予以公开</w:t>
            </w:r>
          </w:p>
        </w:tc>
        <w:tc>
          <w:tcPr>
            <w:tcW w:w="867"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1</w:t>
            </w:r>
          </w:p>
        </w:tc>
        <w:tc>
          <w:tcPr>
            <w:tcW w:w="54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25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（二）部分公开（区分处理的，只计这一情形，不计其他情形）</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不予公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开</w:t>
            </w: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1.属于国家秘密</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2.其他法律行政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法规禁止公开</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3.危及“三安全一稳定”</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4.保护第三方合法权益</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5.属于三类内部事务信息</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6.属于四类过程性信息</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7.属于行政执法案卷</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8.属于行政查询事项</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无法提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供</w:t>
            </w: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1.本机关不掌握相关政府信息</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2.没有现成信息需要另行制作</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3.补正后申请内容仍不明确</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不予处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理</w:t>
            </w: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1.信访举报投诉类申请</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2.重复申请</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sz w:val="21"/>
                <w:szCs w:val="21"/>
                <w:vertAlign w:val="baseline"/>
                <w:lang w:val="en-US" w:eastAsia="zh-CN"/>
              </w:rPr>
            </w:pPr>
            <w:r>
              <w:rPr>
                <w:rFonts w:hint="eastAsia"/>
                <w:sz w:val="21"/>
                <w:szCs w:val="21"/>
                <w:vertAlign w:val="baseline"/>
                <w:lang w:val="en-US" w:eastAsia="zh-CN"/>
              </w:rPr>
              <w:t>1</w:t>
            </w:r>
          </w:p>
        </w:tc>
        <w:tc>
          <w:tcPr>
            <w:tcW w:w="54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3.要求提供公开出版物</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4.无正当理由大量反复申请</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9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p>
        </w:tc>
        <w:tc>
          <w:tcPr>
            <w:tcW w:w="16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5.要求行政机关确认或重新出具已获取信息</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25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（六）其他处理</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065" w:type="dxa"/>
            <w:vMerge w:val="continue"/>
            <w:noWrap w:val="0"/>
            <w:vAlign w:val="center"/>
          </w:tcPr>
          <w:p>
            <w:pPr>
              <w:numPr>
                <w:ilvl w:val="0"/>
                <w:numId w:val="0"/>
              </w:numPr>
              <w:jc w:val="both"/>
              <w:rPr>
                <w:rFonts w:hint="eastAsia"/>
                <w:sz w:val="21"/>
                <w:szCs w:val="21"/>
                <w:vertAlign w:val="baseline"/>
                <w:lang w:val="en-US" w:eastAsia="zh-CN"/>
              </w:rPr>
            </w:pPr>
          </w:p>
        </w:tc>
        <w:tc>
          <w:tcPr>
            <w:tcW w:w="25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（七）总计</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366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vertAlign w:val="baseline"/>
                <w:lang w:val="en-US" w:eastAsia="zh-CN"/>
              </w:rPr>
            </w:pPr>
            <w:r>
              <w:rPr>
                <w:rFonts w:hint="eastAsia"/>
                <w:sz w:val="21"/>
                <w:szCs w:val="21"/>
                <w:vertAlign w:val="baseline"/>
                <w:lang w:val="en-US" w:eastAsia="zh-CN"/>
              </w:rPr>
              <w:t>四、结转下年度继续办理</w:t>
            </w:r>
          </w:p>
        </w:tc>
        <w:tc>
          <w:tcPr>
            <w:tcW w:w="8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sz w:val="21"/>
                <w:szCs w:val="21"/>
                <w:vertAlign w:val="baseline"/>
                <w:lang w:val="en-US" w:eastAsia="zh-CN"/>
              </w:rPr>
            </w:pPr>
            <w:r>
              <w:rPr>
                <w:rFonts w:hint="eastAsia"/>
                <w:sz w:val="21"/>
                <w:szCs w:val="21"/>
                <w:vertAlign w:val="baseline"/>
                <w:lang w:val="en-US" w:eastAsia="zh-CN"/>
              </w:rPr>
              <w:t>0</w:t>
            </w:r>
          </w:p>
        </w:tc>
        <w:tc>
          <w:tcPr>
            <w:tcW w:w="54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7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00"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92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588"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c>
          <w:tcPr>
            <w:tcW w:w="665" w:type="dxa"/>
            <w:noWrap w:val="0"/>
            <w:vAlign w:val="center"/>
          </w:tcPr>
          <w:p>
            <w:pPr>
              <w:numPr>
                <w:ilvl w:val="0"/>
                <w:numId w:val="0"/>
              </w:numPr>
              <w:jc w:val="both"/>
              <w:rPr>
                <w:rFonts w:hint="default"/>
                <w:sz w:val="21"/>
                <w:szCs w:val="21"/>
                <w:vertAlign w:val="baseline"/>
                <w:lang w:val="en-US" w:eastAsia="zh-CN"/>
              </w:rPr>
            </w:pPr>
            <w:r>
              <w:rPr>
                <w:rFonts w:hint="eastAsia"/>
                <w:sz w:val="21"/>
                <w:szCs w:val="21"/>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5" w:beforeLines="50" w:after="165" w:afterLines="50" w:line="240" w:lineRule="auto"/>
        <w:ind w:left="0" w:leftChars="0" w:right="0" w:rightChars="0" w:firstLine="0" w:firstLineChars="0"/>
        <w:jc w:val="left"/>
        <w:textAlignment w:val="auto"/>
        <w:outlineLvl w:val="9"/>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99"/>
        <w:gridCol w:w="601"/>
        <w:gridCol w:w="598"/>
        <w:gridCol w:w="601"/>
        <w:gridCol w:w="601"/>
        <w:gridCol w:w="600"/>
        <w:gridCol w:w="600"/>
        <w:gridCol w:w="599"/>
        <w:gridCol w:w="603"/>
        <w:gridCol w:w="595"/>
        <w:gridCol w:w="582"/>
        <w:gridCol w:w="576"/>
        <w:gridCol w:w="567"/>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999" w:type="dxa"/>
            <w:gridSpan w:val="5"/>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行政复议</w:t>
            </w:r>
          </w:p>
        </w:tc>
        <w:tc>
          <w:tcPr>
            <w:tcW w:w="5821" w:type="dxa"/>
            <w:gridSpan w:val="10"/>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00"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结果维持</w:t>
            </w:r>
          </w:p>
        </w:tc>
        <w:tc>
          <w:tcPr>
            <w:tcW w:w="599"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结果纠正</w:t>
            </w:r>
          </w:p>
        </w:tc>
        <w:tc>
          <w:tcPr>
            <w:tcW w:w="601"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其他结果</w:t>
            </w:r>
          </w:p>
        </w:tc>
        <w:tc>
          <w:tcPr>
            <w:tcW w:w="598"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尚未审结</w:t>
            </w:r>
          </w:p>
        </w:tc>
        <w:tc>
          <w:tcPr>
            <w:tcW w:w="601" w:type="dxa"/>
            <w:vMerge w:val="restart"/>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总计</w:t>
            </w:r>
          </w:p>
        </w:tc>
        <w:tc>
          <w:tcPr>
            <w:tcW w:w="3003" w:type="dxa"/>
            <w:gridSpan w:val="5"/>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未经复议直接起诉</w:t>
            </w:r>
          </w:p>
        </w:tc>
        <w:tc>
          <w:tcPr>
            <w:tcW w:w="2818" w:type="dxa"/>
            <w:gridSpan w:val="5"/>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600" w:type="dxa"/>
            <w:vMerge w:val="continue"/>
            <w:noWrap w:val="0"/>
            <w:vAlign w:val="center"/>
          </w:tcPr>
          <w:p>
            <w:pPr>
              <w:numPr>
                <w:ilvl w:val="0"/>
                <w:numId w:val="0"/>
              </w:numPr>
              <w:jc w:val="center"/>
              <w:rPr>
                <w:rFonts w:hint="eastAsia"/>
                <w:sz w:val="21"/>
                <w:szCs w:val="21"/>
                <w:vertAlign w:val="baseline"/>
                <w:lang w:val="en-US" w:eastAsia="zh-CN"/>
              </w:rPr>
            </w:pPr>
          </w:p>
        </w:tc>
        <w:tc>
          <w:tcPr>
            <w:tcW w:w="599" w:type="dxa"/>
            <w:vMerge w:val="continue"/>
            <w:noWrap w:val="0"/>
            <w:vAlign w:val="center"/>
          </w:tcPr>
          <w:p>
            <w:pPr>
              <w:numPr>
                <w:ilvl w:val="0"/>
                <w:numId w:val="0"/>
              </w:numPr>
              <w:jc w:val="center"/>
              <w:rPr>
                <w:rFonts w:hint="eastAsia"/>
                <w:sz w:val="21"/>
                <w:szCs w:val="21"/>
                <w:vertAlign w:val="baseline"/>
                <w:lang w:val="en-US" w:eastAsia="zh-CN"/>
              </w:rPr>
            </w:pPr>
          </w:p>
        </w:tc>
        <w:tc>
          <w:tcPr>
            <w:tcW w:w="601" w:type="dxa"/>
            <w:vMerge w:val="continue"/>
            <w:noWrap w:val="0"/>
            <w:vAlign w:val="center"/>
          </w:tcPr>
          <w:p>
            <w:pPr>
              <w:numPr>
                <w:ilvl w:val="0"/>
                <w:numId w:val="0"/>
              </w:numPr>
              <w:jc w:val="center"/>
              <w:rPr>
                <w:rFonts w:hint="eastAsia"/>
                <w:sz w:val="21"/>
                <w:szCs w:val="21"/>
                <w:vertAlign w:val="baseline"/>
                <w:lang w:val="en-US" w:eastAsia="zh-CN"/>
              </w:rPr>
            </w:pPr>
          </w:p>
        </w:tc>
        <w:tc>
          <w:tcPr>
            <w:tcW w:w="598" w:type="dxa"/>
            <w:vMerge w:val="continue"/>
            <w:noWrap w:val="0"/>
            <w:vAlign w:val="center"/>
          </w:tcPr>
          <w:p>
            <w:pPr>
              <w:numPr>
                <w:ilvl w:val="0"/>
                <w:numId w:val="0"/>
              </w:numPr>
              <w:jc w:val="center"/>
              <w:rPr>
                <w:rFonts w:hint="eastAsia"/>
                <w:sz w:val="21"/>
                <w:szCs w:val="21"/>
                <w:vertAlign w:val="baseline"/>
                <w:lang w:val="en-US" w:eastAsia="zh-CN"/>
              </w:rPr>
            </w:pPr>
          </w:p>
        </w:tc>
        <w:tc>
          <w:tcPr>
            <w:tcW w:w="601" w:type="dxa"/>
            <w:vMerge w:val="continue"/>
            <w:noWrap w:val="0"/>
            <w:vAlign w:val="center"/>
          </w:tcPr>
          <w:p>
            <w:pPr>
              <w:numPr>
                <w:ilvl w:val="0"/>
                <w:numId w:val="0"/>
              </w:numPr>
              <w:jc w:val="center"/>
              <w:rPr>
                <w:rFonts w:hint="eastAsia"/>
                <w:sz w:val="21"/>
                <w:szCs w:val="21"/>
                <w:vertAlign w:val="baseline"/>
                <w:lang w:val="en-US" w:eastAsia="zh-CN"/>
              </w:rPr>
            </w:pPr>
          </w:p>
        </w:tc>
        <w:tc>
          <w:tcPr>
            <w:tcW w:w="601"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结果维持</w:t>
            </w:r>
          </w:p>
        </w:tc>
        <w:tc>
          <w:tcPr>
            <w:tcW w:w="600"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结果纠正</w:t>
            </w:r>
          </w:p>
        </w:tc>
        <w:tc>
          <w:tcPr>
            <w:tcW w:w="600"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其他结果</w:t>
            </w:r>
          </w:p>
        </w:tc>
        <w:tc>
          <w:tcPr>
            <w:tcW w:w="599"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尚未审结</w:t>
            </w:r>
          </w:p>
        </w:tc>
        <w:tc>
          <w:tcPr>
            <w:tcW w:w="603"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总计</w:t>
            </w:r>
          </w:p>
        </w:tc>
        <w:tc>
          <w:tcPr>
            <w:tcW w:w="595"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结果维持</w:t>
            </w:r>
          </w:p>
        </w:tc>
        <w:tc>
          <w:tcPr>
            <w:tcW w:w="582"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结果纠正</w:t>
            </w:r>
          </w:p>
        </w:tc>
        <w:tc>
          <w:tcPr>
            <w:tcW w:w="576"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其他结果</w:t>
            </w:r>
          </w:p>
        </w:tc>
        <w:tc>
          <w:tcPr>
            <w:tcW w:w="567"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尚未审结</w:t>
            </w:r>
          </w:p>
        </w:tc>
        <w:tc>
          <w:tcPr>
            <w:tcW w:w="498" w:type="dxa"/>
            <w:noWrap w:val="0"/>
            <w:vAlign w:val="center"/>
          </w:tcPr>
          <w:p>
            <w:pPr>
              <w:numPr>
                <w:ilvl w:val="0"/>
                <w:numId w:val="0"/>
              </w:numPr>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00"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99"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98"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0"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0"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99"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60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95"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82"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76"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567"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c>
          <w:tcPr>
            <w:tcW w:w="498"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0</w:t>
            </w:r>
          </w:p>
        </w:tc>
      </w:tr>
    </w:tbl>
    <w:p>
      <w:pPr>
        <w:numPr>
          <w:ilvl w:val="0"/>
          <w:numId w:val="0"/>
        </w:numPr>
        <w:jc w:val="left"/>
        <w:rPr>
          <w:rFonts w:hint="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的政府信息公开工作取得了一定的进展，但扔存在一定的差距。下阶段，我局将进一步完善信息公开制度，强化信息公开的责任意识和服务意识，确保政务信息公开工作及时、准确；进一步拓宽信息公开渠道，认真接受社会公众对住建局信息公开情况的监督，及时听取、吸纳群众的意见建议；进一步开展宣传教育活动，围绕住建领域相关法律法规政策及政府信息公开制度和内容开展形式多样的宣传教育，扩大社会参与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六、其他需要汇报的事项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侯马市住房和城乡建设管理局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2023年1月16日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NGNhMDkxZmNlYWI5NzIxNmZmOTNiMTViMzA3ZTMifQ=="/>
  </w:docVars>
  <w:rsids>
    <w:rsidRoot w:val="00000000"/>
    <w:rsid w:val="2BAF0E4F"/>
    <w:rsid w:val="3DAA2C12"/>
    <w:rsid w:val="4D57122E"/>
    <w:rsid w:val="61315247"/>
    <w:rsid w:val="67D529E7"/>
    <w:rsid w:val="7D894966"/>
    <w:rsid w:val="7E1C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1230</Words>
  <Characters>1261</Characters>
  <Lines>0</Lines>
  <Paragraphs>0</Paragraphs>
  <TotalTime>0</TotalTime>
  <ScaleCrop>false</ScaleCrop>
  <LinksUpToDate>false</LinksUpToDate>
  <CharactersWithSpaces>1261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2023-01-17T08:17:00Z</dcterms:created>
  <dc:creator>Administrator</dc:creator>
  <cp:lastModifiedBy>雨晨</cp:lastModifiedBy>
  <cp:lastPrinted>2023-01-18T08:04:00Z</cp:lastPrinted>
  <dcterms:modified xsi:type="dcterms:W3CDTF">2023-01-30T01:56:04Z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F8A4D3B7878F40A4BEBEA6DEC406C089</vt:lpwstr>
  </property>
</Properties>
</file>