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侯马市凤城乡</w:t>
      </w:r>
      <w:r>
        <w:rPr>
          <w:rFonts w:hint="eastAsia" w:ascii="方正小标宋简体" w:hAnsi="方正小标宋简体" w:eastAsia="方正小标宋简体" w:cs="方正小标宋简体"/>
          <w:sz w:val="44"/>
          <w:szCs w:val="44"/>
          <w:lang w:val="en-US" w:eastAsia="zh-CN"/>
        </w:rPr>
        <w:t>2022年</w:t>
      </w: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numPr>
          <w:ilvl w:val="0"/>
          <w:numId w:val="0"/>
        </w:num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我乡在市委、市政府的正确领导下，紧紧围绕乡政府中心工作，围绕2022年政务公开工作要点，聚焦政务公开标准化规范化体系建设不断加强政府信息公开工作力度，提高政府工作的透明度和公信度，保障人民群众的民主权、知情权，较好地发挥了政府信息对人民群众生产生活和经济社会活动的服务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（一）工作机制。</w:t>
      </w:r>
      <w:r>
        <w:rPr>
          <w:rFonts w:hint="eastAsia" w:ascii="仿宋_GB2312" w:hAnsi="仿宋_GB2312" w:eastAsia="仿宋_GB2312" w:cs="仿宋_GB2312"/>
          <w:sz w:val="32"/>
          <w:szCs w:val="32"/>
          <w:lang w:val="en-US" w:eastAsia="zh-CN"/>
        </w:rPr>
        <w:t>充实和调整政务公开工作领导小组，成立由乡长为组长、党委副书记为副组长、党政办主任为成员的政务公开领导小组，具体日常工作由党政办主要负责。形成一把手亲自抓，分管领导具体抓的工作格局。认真贯彻落实《中华人民共和国政府信息公开条例》</w:t>
      </w:r>
      <w:bookmarkStart w:id="0" w:name="_GoBack"/>
      <w:bookmarkEnd w:id="0"/>
      <w:r>
        <w:rPr>
          <w:rFonts w:hint="eastAsia" w:ascii="仿宋_GB2312" w:hAnsi="仿宋_GB2312" w:eastAsia="仿宋_GB2312" w:cs="仿宋_GB2312"/>
          <w:sz w:val="32"/>
          <w:szCs w:val="32"/>
          <w:lang w:val="en-US" w:eastAsia="zh-CN"/>
        </w:rPr>
        <w:t>、山西省政务公开相关规定和市委、市政府有关文件和会议精神，始终把政务公开工作作为建设廉洁、勤政、务实、高效政府的一项重要任务，定期召开专题会议研究政府信息公开工作，安排专人负责日常工作，及时更新维护公开的信息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1"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
          <w:bCs/>
          <w:sz w:val="32"/>
          <w:szCs w:val="32"/>
          <w:lang w:val="en-US" w:eastAsia="zh-CN"/>
        </w:rPr>
        <w:t>（二）信息管理。</w:t>
      </w:r>
      <w:r>
        <w:rPr>
          <w:rFonts w:hint="eastAsia" w:ascii="仿宋_GB2312" w:hAnsi="仿宋_GB2312" w:eastAsia="仿宋_GB2312" w:cs="仿宋_GB2312"/>
          <w:sz w:val="32"/>
          <w:szCs w:val="32"/>
        </w:rPr>
        <w:t>为确保政府信息公开内容可读性、实效性和针对性，我乡紧扣乡域发展大事、要事和群众关心的实事、急事，有针对性的确定了年度公开内容，主要包括年度工作目标、重点项目、现代农业、文化旅游、惠农政策、“一事一议”、农村五保、低保等主要内容，充分让群众知晓，广泛接受群</w:t>
      </w:r>
      <w:r>
        <w:rPr>
          <w:rFonts w:hint="eastAsia" w:ascii="仿宋_GB2312" w:hAnsi="仿宋_GB2312" w:eastAsia="仿宋_GB2312" w:cs="仿宋_GB2312"/>
          <w:sz w:val="32"/>
          <w:szCs w:val="32"/>
          <w:lang w:eastAsia="zh-CN"/>
        </w:rPr>
        <w:t>众</w:t>
      </w:r>
      <w:r>
        <w:rPr>
          <w:rFonts w:hint="eastAsia" w:ascii="仿宋_GB2312" w:hAnsi="仿宋_GB2312" w:eastAsia="仿宋_GB2312" w:cs="仿宋_GB2312"/>
          <w:sz w:val="32"/>
          <w:szCs w:val="32"/>
        </w:rPr>
        <w:t>监督</w:t>
      </w:r>
      <w:r>
        <w:rPr>
          <w:rFonts w:hint="eastAsia" w:ascii="仿宋_GB2312" w:hAnsi="仿宋_GB2312"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（三）平台管理。</w:t>
      </w:r>
      <w:r>
        <w:rPr>
          <w:rFonts w:hint="eastAsia" w:ascii="仿宋_GB2312" w:hAnsi="仿宋_GB2312" w:eastAsia="仿宋_GB2312" w:cs="仿宋_GB2312"/>
          <w:sz w:val="32"/>
          <w:szCs w:val="32"/>
          <w:lang w:val="en-US" w:eastAsia="zh-CN"/>
        </w:rPr>
        <w:t>加强公开渠道管理，将乡村信息公开栏、版面、广播、传单、条幅、美篇、微信群等线上线下发布的信息进行统一管理，严把内容关，保障信息发布渠道多样性及公开内容的真实性和权威性。不断优化便民服务中心查询点,提高工作人员业务素质，加强政策解读和办事服务工作，进一步丰富公开形式和内容，并设置群众服务评价，根据群众反映情况，及时调整服务事项，提高群众参与度和满意度。</w:t>
      </w:r>
    </w:p>
    <w:p>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lang w:val="en-US" w:eastAsia="zh-CN"/>
        </w:rPr>
        <w:t>（四）监督保障。</w:t>
      </w:r>
      <w:r>
        <w:rPr>
          <w:rFonts w:hint="eastAsia" w:ascii="仿宋_GB2312" w:hAnsi="仿宋_GB2312" w:eastAsia="仿宋_GB2312" w:cs="仿宋_GB2312"/>
          <w:sz w:val="32"/>
          <w:szCs w:val="32"/>
          <w:lang w:val="en-US" w:eastAsia="zh-CN"/>
        </w:rPr>
        <w:t>我乡在推进政府信息公开工作的过程中，严格依法管理，加强督促检查，强化监督，规范信息发布审批流程和保密审查机制，完善了信息发布的责任追究制，按照“谁发布，谁负责”的原则，把信息公开任务分解到各站所，</w:t>
      </w:r>
      <w:r>
        <w:rPr>
          <w:rFonts w:hint="eastAsia" w:ascii="仿宋_GB2312" w:hAnsi="仿宋_GB2312" w:eastAsia="仿宋_GB2312" w:cs="仿宋_GB2312"/>
          <w:sz w:val="32"/>
          <w:szCs w:val="32"/>
        </w:rPr>
        <w:t>做到了领导、机构、人员“三到位”</w:t>
      </w:r>
      <w:r>
        <w:rPr>
          <w:rFonts w:hint="eastAsia" w:ascii="仿宋_GB2312" w:hAnsi="仿宋_GB2312" w:eastAsia="仿宋_GB2312" w:cs="仿宋_GB2312"/>
          <w:sz w:val="32"/>
          <w:szCs w:val="32"/>
          <w:lang w:eastAsia="zh-CN"/>
        </w:rPr>
        <w:t>，确保重要信息不漏报、不迟报、不误报；同时</w:t>
      </w:r>
      <w:r>
        <w:rPr>
          <w:rFonts w:hint="eastAsia" w:ascii="仿宋_GB2312" w:hAnsi="仿宋_GB2312" w:eastAsia="仿宋_GB2312" w:cs="仿宋_GB2312"/>
          <w:sz w:val="32"/>
          <w:szCs w:val="32"/>
          <w:lang w:val="en-US" w:eastAsia="zh-CN"/>
        </w:rPr>
        <w:t>加强信息编发和审查力度，实现信息的完整性、准确性，并且保证不出现任何形式的泄密。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黑体" w:hAnsi="黑体" w:eastAsia="黑体" w:cs="黑体"/>
          <w:sz w:val="32"/>
          <w:szCs w:val="32"/>
        </w:rPr>
        <w:t>二、主动公开政府信息情况</w:t>
      </w:r>
    </w:p>
    <w:tbl>
      <w:tblPr>
        <w:tblStyle w:val="4"/>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eastAsia="宋体"/>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4"/>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695"/>
        <w:gridCol w:w="695"/>
        <w:gridCol w:w="699"/>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9"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top"/>
          </w:tcPr>
          <w:p>
            <w:pPr>
              <w:rPr>
                <w:rFonts w:hint="eastAsia" w:ascii="宋体"/>
                <w:sz w:val="24"/>
                <w:szCs w:val="24"/>
              </w:rPr>
            </w:pPr>
          </w:p>
        </w:tc>
      </w:tr>
    </w:tbl>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Style w:val="6"/>
          <w:rFonts w:hint="eastAsia" w:ascii="黑体" w:hAnsi="黑体" w:eastAsia="黑体" w:cs="黑体"/>
          <w:b w:val="0"/>
          <w:bCs/>
          <w:i w:val="0"/>
          <w:spacing w:val="0"/>
          <w:sz w:val="32"/>
          <w:szCs w:val="32"/>
        </w:rPr>
      </w:pPr>
      <w:r>
        <w:rPr>
          <w:rStyle w:val="6"/>
          <w:rFonts w:hint="eastAsia" w:ascii="黑体" w:hAnsi="黑体" w:eastAsia="黑体" w:cs="黑体"/>
          <w:b w:val="0"/>
          <w:bCs/>
          <w:i w:val="0"/>
          <w:spacing w:val="0"/>
          <w:sz w:val="32"/>
          <w:szCs w:val="32"/>
          <w:lang w:eastAsia="zh-CN"/>
        </w:rPr>
        <w:t>五、</w:t>
      </w:r>
      <w:r>
        <w:rPr>
          <w:rStyle w:val="6"/>
          <w:rFonts w:hint="eastAsia" w:ascii="黑体" w:hAnsi="黑体" w:eastAsia="黑体" w:cs="黑体"/>
          <w:b w:val="0"/>
          <w:bCs/>
          <w:i w:val="0"/>
          <w:spacing w:val="0"/>
          <w:sz w:val="32"/>
          <w:szCs w:val="32"/>
        </w:rPr>
        <w:t>存在的主要问题及改进情况</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结我乡2022年度政府信息公开工作，还存在着一些问题，与上级要求和群众期盼仍有差距。一是相关配套制度还不够健全完善；二是信息公开主动性还不够强，信息公开意识不强，与真正畅通联系群众“最后一公里”还有一定距离。</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Style w:val="6"/>
          <w:rFonts w:hint="eastAsia" w:ascii="黑体" w:hAnsi="黑体" w:eastAsia="黑体" w:cs="黑体"/>
          <w:i w:val="0"/>
          <w:spacing w:val="0"/>
          <w:sz w:val="32"/>
          <w:szCs w:val="32"/>
        </w:rPr>
      </w:pPr>
      <w:r>
        <w:rPr>
          <w:rFonts w:hint="eastAsia" w:ascii="仿宋_GB2312" w:hAnsi="仿宋_GB2312" w:eastAsia="仿宋_GB2312" w:cs="仿宋_GB2312"/>
          <w:sz w:val="32"/>
          <w:szCs w:val="32"/>
          <w:lang w:val="en-US" w:eastAsia="zh-CN"/>
        </w:rPr>
        <w:t>为此，我乡将进一步加强对政府信息公开工作的领导，认真制定切实可行的措施，改进和加强政府信息网上公开工作。一是注重健全配套制度，着力健全完善公开、依申请公开、保密审查、复核审批、内部考核等制度。同时进一步提升工作透明度，保障公众的知情权和监督权，确保政府信息公开工作扎实有效推进。二是重点提高主动公开力度，切实提高主动公开时效性，着力深化重点领域信息尤其是民生领域信息公开，满足群众最关注、最迫切了解的信息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sz w:val="32"/>
          <w:szCs w:val="32"/>
        </w:rPr>
      </w:pPr>
      <w:r>
        <w:rPr>
          <w:rStyle w:val="6"/>
          <w:rFonts w:hint="eastAsia" w:ascii="黑体" w:hAnsi="黑体" w:eastAsia="黑体" w:cs="黑体"/>
          <w:b w:val="0"/>
          <w:bCs/>
          <w:i w:val="0"/>
          <w:spacing w:val="0"/>
          <w:sz w:val="32"/>
          <w:szCs w:val="32"/>
        </w:rPr>
        <w:t>六、其他需要报告的事项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无其他需要报告的事项。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right="0" w:rightChars="0" w:firstLine="640" w:firstLineChars="200"/>
        <w:jc w:val="center"/>
        <w:textAlignment w:val="auto"/>
        <w:outlineLvl w:val="9"/>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凤城乡人民政府  </w:t>
      </w:r>
    </w:p>
    <w:p>
      <w:pPr>
        <w:ind w:firstLine="5760" w:firstLineChars="1800"/>
      </w:pPr>
      <w:r>
        <w:rPr>
          <w:rFonts w:hint="eastAsia" w:ascii="仿宋" w:hAnsi="仿宋" w:eastAsia="仿宋" w:cs="仿宋"/>
          <w:kern w:val="2"/>
          <w:sz w:val="32"/>
          <w:szCs w:val="32"/>
          <w:lang w:val="en-US" w:eastAsia="zh-CN" w:bidi="ar-SA"/>
        </w:rPr>
        <w:t>2023年1月16日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0040101010101"/>
    <w:charset w:val="86"/>
    <w:family w:val="auto"/>
    <w:pitch w:val="default"/>
    <w:sig w:usb0="00000287" w:usb1="080F0000" w:usb2="00000000" w:usb3="00000000" w:csb0="0004009F" w:csb1="DFD70000"/>
  </w:font>
  <w:font w:name="楷体_GB2312">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TNjNTE0YjM0YTRlOGRhYmM0NTRlMWVmYTBiZDcifQ=="/>
  </w:docVars>
  <w:rsids>
    <w:rsidRoot w:val="385D5385"/>
    <w:rsid w:val="02045E04"/>
    <w:rsid w:val="03072759"/>
    <w:rsid w:val="045C42D3"/>
    <w:rsid w:val="053A4879"/>
    <w:rsid w:val="09E7368A"/>
    <w:rsid w:val="0CE306BF"/>
    <w:rsid w:val="0EAB0B3E"/>
    <w:rsid w:val="0EFE5BC0"/>
    <w:rsid w:val="109829FD"/>
    <w:rsid w:val="11AE1EF8"/>
    <w:rsid w:val="12F76C3B"/>
    <w:rsid w:val="13731442"/>
    <w:rsid w:val="16753278"/>
    <w:rsid w:val="16F4421D"/>
    <w:rsid w:val="1EE415D5"/>
    <w:rsid w:val="22CD049B"/>
    <w:rsid w:val="23A300BF"/>
    <w:rsid w:val="252055C5"/>
    <w:rsid w:val="25DD4646"/>
    <w:rsid w:val="2630688E"/>
    <w:rsid w:val="26E2015A"/>
    <w:rsid w:val="2A8568E5"/>
    <w:rsid w:val="2BB76496"/>
    <w:rsid w:val="2BFA1EAF"/>
    <w:rsid w:val="2C6F2A9B"/>
    <w:rsid w:val="2DAE72D7"/>
    <w:rsid w:val="2EA5532F"/>
    <w:rsid w:val="2F005CC6"/>
    <w:rsid w:val="32472EE9"/>
    <w:rsid w:val="385D5385"/>
    <w:rsid w:val="38FE7CA0"/>
    <w:rsid w:val="3DC226CC"/>
    <w:rsid w:val="3F5A260A"/>
    <w:rsid w:val="414A5A9F"/>
    <w:rsid w:val="4156243A"/>
    <w:rsid w:val="422D2DDF"/>
    <w:rsid w:val="4251004E"/>
    <w:rsid w:val="434E2638"/>
    <w:rsid w:val="4551397C"/>
    <w:rsid w:val="4751108D"/>
    <w:rsid w:val="4D5E4218"/>
    <w:rsid w:val="4E0C37ED"/>
    <w:rsid w:val="50A32C89"/>
    <w:rsid w:val="51631A61"/>
    <w:rsid w:val="51811D87"/>
    <w:rsid w:val="55DF7449"/>
    <w:rsid w:val="562E3764"/>
    <w:rsid w:val="591B48E3"/>
    <w:rsid w:val="5CBE0F3F"/>
    <w:rsid w:val="5CBE2215"/>
    <w:rsid w:val="5E3119E0"/>
    <w:rsid w:val="615E1897"/>
    <w:rsid w:val="724B6C5D"/>
    <w:rsid w:val="747C2002"/>
    <w:rsid w:val="79B973D9"/>
    <w:rsid w:val="7A333E9D"/>
    <w:rsid w:val="7CB27599"/>
    <w:rsid w:val="7DD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2133</Words>
  <Characters>2168</Characters>
  <Lines>0</Lines>
  <Paragraphs>0</Paragraphs>
  <TotalTime>15</TotalTime>
  <ScaleCrop>false</ScaleCrop>
  <LinksUpToDate>false</LinksUpToDate>
  <CharactersWithSpaces>2200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刘静</dc:creator>
  <cp:lastModifiedBy>zhferu</cp:lastModifiedBy>
  <dcterms:modified xsi:type="dcterms:W3CDTF">2024-05-23T03:25:14Z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26456E86F8234B9DBB34D472781686BF</vt:lpwstr>
  </property>
</Properties>
</file>