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侯马市张村办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2022年，我办在市委、市政府的正确领导下，深入落实政务公开工作相关要求，创新工作方式方法，推进全办政务公开工作高质量发展。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成立小组，完善领导机制。充实和调整政务公开工作领导小组，成立由主任为组长、党工委副书记为副组长、有关部门负责人参加的政务公开工作领导小组。具体日常工作由街道办公室及便民服务中心主要负责，落实政务公开的各项要求，做好牵头协调和监督检查。二是建立健全工作制度，促进政务公开工作走上制度化、规范化的道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（二）加强信息管理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根据《中华人民共和国政府信息公开条例》要求，凡我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可公开的政务动态信息、涉及政策法规、涉及公民、法人或其他组织切身利益的、需要社会公众广泛知晓的、机构设置、职能、办事程序等信息、其他法律、法规规定应当公开的信息等，我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依法、全面、准确、及时地公开发布各类信息。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依申请公开。截至202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日，共接到依申请公开信息0条、办结0条。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申请行政复议、提起行政诉讼。202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没有发生针对政府信息公开事务的行政复议案;没有发生针对政府信息公开事务的行政诉讼案;此外，也没有收到政府信息公开事务有关的申诉案。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（三）加强组织学习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为更好地开展政府信息公开工作，我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积极动员和安排负责政府信息公开工作的人员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参加培训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，明确了职责、程序、公开方式和时限要求等，要求严格执行保密制度及责任追究制度，不断提高相关人员的工作能力和业务水平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eastAsia="zh-CN"/>
        </w:rPr>
        <w:t>五、</w:t>
      </w:r>
      <w:r>
        <w:rPr>
          <w:rStyle w:val="5"/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我办政府信息公开工作虽取得了一定成效，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但仍存在一些问题。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一是具体工作人员业务不熟，缺少专业信息人员；二是对社会宣传力度不足；三是对信息公开工作认识不够深入，缺乏主动性意识。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今后，我办将会加强认识，完善不足，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改进和加强政府信息网上公开工作。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是进一步加强工作培训。一是定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期邀请政府政务公开办相关业务能手到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进行业务指导和培训，切实提升政务信息公开质量。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二是加强宣传，形成氛围，让政务公开深入群众心中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。三是重点提高主动公开力度，切实提高主动公开时效性，着力深化重点领域信息尤其是民生领域信息公开，满足群众最关注、最迫切了解的信息需求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张村街道办事处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MGFjMTEwYmMzYjMxZGViNDBhOGUwYjE3OWM3N2UifQ=="/>
  </w:docVars>
  <w:rsids>
    <w:rsidRoot w:val="1E511DE1"/>
    <w:rsid w:val="1E511DE1"/>
    <w:rsid w:val="65907AD8"/>
    <w:rsid w:val="7DB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1811</Words>
  <Characters>1848</Characters>
  <Lines>0</Lines>
  <Paragraphs>0</Paragraphs>
  <TotalTime>2</TotalTime>
  <ScaleCrop>false</ScaleCrop>
  <LinksUpToDate>false</LinksUpToDate>
  <CharactersWithSpaces>1848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2023-01-18T01:56:00Z</dcterms:created>
  <dc:creator>奔向未来的人</dc:creator>
  <cp:lastModifiedBy>侯马市张村办</cp:lastModifiedBy>
  <dcterms:modified xsi:type="dcterms:W3CDTF">2023-01-18T07:27:49Z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03D57A50ED364C3DBDB11774B5CDBCDF</vt:lpwstr>
  </property>
</Properties>
</file>