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32CE5">
      <w:pPr>
        <w:rPr>
          <w:rFonts w:hint="eastAsia"/>
          <w:lang w:val="en-US" w:eastAsia="zh-CN"/>
        </w:rPr>
      </w:pPr>
    </w:p>
    <w:p w14:paraId="2BC60A12">
      <w:pPr>
        <w:rPr>
          <w:rFonts w:hint="eastAsia"/>
          <w:lang w:val="en-US" w:eastAsia="zh-CN"/>
        </w:rPr>
      </w:pPr>
    </w:p>
    <w:p w14:paraId="6D840E4C">
      <w:pPr>
        <w:rPr>
          <w:rFonts w:hint="eastAsia"/>
          <w:lang w:val="en-US" w:eastAsia="zh-CN"/>
        </w:rPr>
      </w:pPr>
    </w:p>
    <w:p w14:paraId="51946E03">
      <w:pPr>
        <w:rPr>
          <w:rFonts w:hint="eastAsia"/>
          <w:lang w:val="en-US" w:eastAsia="zh-CN"/>
        </w:rPr>
      </w:pPr>
    </w:p>
    <w:p w14:paraId="6C53DA34">
      <w:pPr>
        <w:ind w:left="0" w:leftChars="0" w:firstLine="0" w:firstLineChars="0"/>
        <w:jc w:val="center"/>
        <w:outlineLvl w:val="0"/>
        <w:rPr>
          <w:rFonts w:hint="eastAsia" w:ascii="Times New Roman" w:hAnsi="Times New Roman" w:eastAsia="方正小标宋简体" w:cs="Times New Roman"/>
          <w:b/>
          <w:bCs/>
          <w:color w:val="auto"/>
          <w:kern w:val="0"/>
          <w:sz w:val="44"/>
          <w:szCs w:val="44"/>
          <w:lang w:val="en-US" w:eastAsia="zh-CN" w:bidi="ar"/>
        </w:rPr>
      </w:pPr>
      <w:bookmarkStart w:id="0" w:name="_Toc18783"/>
      <w:bookmarkStart w:id="1" w:name="_Toc18584"/>
      <w:bookmarkStart w:id="2" w:name="_Toc26389"/>
      <w:bookmarkStart w:id="3" w:name="_Toc497"/>
      <w:bookmarkStart w:id="4" w:name="_Toc30074"/>
      <w:bookmarkStart w:id="5" w:name="_Toc27868"/>
      <w:bookmarkStart w:id="6" w:name="_Toc6036"/>
      <w:bookmarkStart w:id="7" w:name="_Toc2295"/>
      <w:bookmarkStart w:id="8" w:name="OLE_LINK30"/>
      <w:r>
        <w:rPr>
          <w:rFonts w:hint="eastAsia" w:ascii="Times New Roman" w:hAnsi="Times New Roman" w:eastAsia="方正小标宋简体" w:cs="Times New Roman"/>
          <w:b/>
          <w:bCs/>
          <w:color w:val="auto"/>
          <w:kern w:val="0"/>
          <w:sz w:val="44"/>
          <w:szCs w:val="44"/>
          <w:lang w:val="en-US" w:eastAsia="zh-CN" w:bidi="ar"/>
        </w:rPr>
        <w:t>侯马市</w:t>
      </w:r>
      <w:r>
        <w:rPr>
          <w:rFonts w:hint="eastAsia" w:eastAsia="方正小标宋简体" w:cs="Times New Roman"/>
          <w:b/>
          <w:bCs/>
          <w:color w:val="auto"/>
          <w:kern w:val="0"/>
          <w:sz w:val="44"/>
          <w:szCs w:val="44"/>
          <w:lang w:val="en-US" w:eastAsia="zh-CN" w:bidi="ar"/>
        </w:rPr>
        <w:t>新</w:t>
      </w:r>
      <w:r>
        <w:rPr>
          <w:rFonts w:hint="eastAsia" w:ascii="Times New Roman" w:hAnsi="Times New Roman" w:eastAsia="方正小标宋简体" w:cs="Times New Roman"/>
          <w:b/>
          <w:bCs/>
          <w:color w:val="auto"/>
          <w:kern w:val="0"/>
          <w:sz w:val="44"/>
          <w:szCs w:val="44"/>
          <w:lang w:val="en-US" w:eastAsia="zh-CN" w:bidi="ar"/>
        </w:rPr>
        <w:t>型城镇</w:t>
      </w:r>
      <w:r>
        <w:rPr>
          <w:rFonts w:hint="eastAsia" w:eastAsia="方正小标宋简体" w:cs="Times New Roman"/>
          <w:b/>
          <w:bCs/>
          <w:color w:val="auto"/>
          <w:kern w:val="0"/>
          <w:sz w:val="44"/>
          <w:szCs w:val="44"/>
          <w:lang w:val="en-US" w:eastAsia="zh-CN" w:bidi="ar"/>
        </w:rPr>
        <w:t>化建设</w:t>
      </w:r>
      <w:r>
        <w:rPr>
          <w:rFonts w:hint="eastAsia" w:ascii="Times New Roman" w:hAnsi="Times New Roman" w:eastAsia="方正小标宋简体" w:cs="Times New Roman"/>
          <w:b/>
          <w:bCs/>
          <w:color w:val="auto"/>
          <w:kern w:val="0"/>
          <w:sz w:val="44"/>
          <w:szCs w:val="44"/>
          <w:lang w:val="en-US" w:eastAsia="zh-CN" w:bidi="ar"/>
        </w:rPr>
        <w:t>规划</w:t>
      </w:r>
      <w:bookmarkEnd w:id="0"/>
      <w:bookmarkEnd w:id="1"/>
      <w:bookmarkEnd w:id="2"/>
      <w:bookmarkEnd w:id="3"/>
      <w:bookmarkEnd w:id="4"/>
      <w:bookmarkEnd w:id="5"/>
      <w:bookmarkEnd w:id="6"/>
    </w:p>
    <w:p w14:paraId="2A50266E">
      <w:pPr>
        <w:ind w:left="0" w:leftChars="0" w:firstLine="0" w:firstLineChars="0"/>
        <w:jc w:val="center"/>
        <w:outlineLvl w:val="9"/>
        <w:rPr>
          <w:rFonts w:hint="eastAsia" w:eastAsia="方正小标宋简体" w:cs="Times New Roman"/>
          <w:color w:val="auto"/>
          <w:kern w:val="0"/>
          <w:sz w:val="44"/>
          <w:szCs w:val="44"/>
          <w:lang w:val="en-US" w:eastAsia="zh-CN" w:bidi="ar"/>
        </w:rPr>
      </w:pPr>
      <w:r>
        <w:rPr>
          <w:rFonts w:hint="eastAsia" w:eastAsia="方正小标宋简体" w:cs="Times New Roman"/>
          <w:color w:val="auto"/>
          <w:kern w:val="0"/>
          <w:sz w:val="44"/>
          <w:szCs w:val="44"/>
          <w:lang w:val="en-US" w:eastAsia="zh-CN" w:bidi="ar"/>
        </w:rPr>
        <w:t>（2025—2030年）</w:t>
      </w:r>
      <w:bookmarkEnd w:id="7"/>
    </w:p>
    <w:bookmarkEnd w:id="8"/>
    <w:p w14:paraId="1688C983">
      <w:pPr>
        <w:rPr>
          <w:rFonts w:hint="eastAsia"/>
          <w:lang w:val="en-US" w:eastAsia="zh-CN"/>
        </w:rPr>
      </w:pPr>
    </w:p>
    <w:p w14:paraId="3E9D5425">
      <w:pPr>
        <w:rPr>
          <w:rFonts w:hint="eastAsia"/>
          <w:lang w:val="en-US" w:eastAsia="zh-CN"/>
        </w:rPr>
      </w:pPr>
    </w:p>
    <w:p w14:paraId="1EC567B6">
      <w:pPr>
        <w:rPr>
          <w:rFonts w:hint="eastAsia"/>
          <w:lang w:val="en-US" w:eastAsia="zh-CN"/>
        </w:rPr>
      </w:pPr>
    </w:p>
    <w:p w14:paraId="5A63CF2D">
      <w:pPr>
        <w:rPr>
          <w:rFonts w:hint="eastAsia"/>
          <w:lang w:val="en-US" w:eastAsia="zh-CN"/>
        </w:rPr>
      </w:pPr>
    </w:p>
    <w:p w14:paraId="3C04B8ED">
      <w:pPr>
        <w:rPr>
          <w:rFonts w:hint="eastAsia"/>
          <w:lang w:val="en-US" w:eastAsia="zh-CN"/>
        </w:rPr>
      </w:pPr>
    </w:p>
    <w:p w14:paraId="4D52C22E">
      <w:pPr>
        <w:rPr>
          <w:rFonts w:hint="eastAsia"/>
          <w:lang w:val="en-US" w:eastAsia="zh-CN"/>
        </w:rPr>
      </w:pPr>
    </w:p>
    <w:p w14:paraId="5CCB150C">
      <w:pPr>
        <w:rPr>
          <w:rFonts w:hint="eastAsia"/>
          <w:lang w:val="en-US" w:eastAsia="zh-CN"/>
        </w:rPr>
      </w:pPr>
    </w:p>
    <w:p w14:paraId="5110D3DF">
      <w:pPr>
        <w:rPr>
          <w:rFonts w:hint="eastAsia"/>
          <w:lang w:val="en-US" w:eastAsia="zh-CN"/>
        </w:rPr>
      </w:pPr>
    </w:p>
    <w:p w14:paraId="066C24AE">
      <w:pPr>
        <w:rPr>
          <w:rFonts w:hint="eastAsia"/>
          <w:lang w:val="en-US" w:eastAsia="zh-CN"/>
        </w:rPr>
      </w:pPr>
    </w:p>
    <w:p w14:paraId="5A1751D4">
      <w:pPr>
        <w:rPr>
          <w:rFonts w:hint="eastAsia"/>
          <w:lang w:val="en-US" w:eastAsia="zh-CN"/>
        </w:rPr>
      </w:pPr>
    </w:p>
    <w:p w14:paraId="7F348D05">
      <w:pPr>
        <w:rPr>
          <w:rFonts w:hint="eastAsia"/>
          <w:lang w:val="en-US" w:eastAsia="zh-CN"/>
        </w:rPr>
      </w:pPr>
    </w:p>
    <w:p w14:paraId="5E21E1EC">
      <w:pPr>
        <w:rPr>
          <w:rFonts w:hint="eastAsia"/>
          <w:lang w:val="en-US" w:eastAsia="zh-CN"/>
        </w:rPr>
      </w:pPr>
    </w:p>
    <w:p w14:paraId="384A1DF3">
      <w:pPr>
        <w:rPr>
          <w:rFonts w:hint="eastAsia"/>
          <w:lang w:val="en-US" w:eastAsia="zh-CN"/>
        </w:rPr>
      </w:pPr>
    </w:p>
    <w:p w14:paraId="10BEFBAD">
      <w:pPr>
        <w:rPr>
          <w:rFonts w:hint="eastAsia"/>
          <w:lang w:val="en-US" w:eastAsia="zh-CN"/>
        </w:rPr>
      </w:pPr>
    </w:p>
    <w:p w14:paraId="3750A18A">
      <w:pPr>
        <w:rPr>
          <w:rFonts w:hint="eastAsia"/>
          <w:lang w:val="en-US" w:eastAsia="zh-CN"/>
        </w:rPr>
      </w:pPr>
    </w:p>
    <w:p w14:paraId="35BA46E9">
      <w:pPr>
        <w:rPr>
          <w:rFonts w:hint="eastAsia"/>
          <w:lang w:val="en-US" w:eastAsia="zh-CN"/>
        </w:rPr>
      </w:pPr>
    </w:p>
    <w:p w14:paraId="494B7F36">
      <w:pPr>
        <w:rPr>
          <w:rFonts w:hint="eastAsia"/>
          <w:lang w:val="en-US" w:eastAsia="zh-CN"/>
        </w:rPr>
      </w:pPr>
    </w:p>
    <w:p w14:paraId="7C75A569">
      <w:pPr>
        <w:rPr>
          <w:rFonts w:hint="eastAsia"/>
          <w:lang w:val="en-US" w:eastAsia="zh-CN"/>
        </w:rPr>
      </w:pPr>
    </w:p>
    <w:p w14:paraId="6DB65848">
      <w:pPr>
        <w:rPr>
          <w:rFonts w:hint="eastAsia"/>
          <w:lang w:val="en-US" w:eastAsia="zh-CN"/>
        </w:rPr>
      </w:pPr>
    </w:p>
    <w:p w14:paraId="6118F8B7">
      <w:pPr>
        <w:rPr>
          <w:rFonts w:hint="eastAsia"/>
          <w:lang w:val="en-US" w:eastAsia="zh-CN"/>
        </w:rPr>
      </w:pPr>
    </w:p>
    <w:p w14:paraId="7DC8E416">
      <w:pPr>
        <w:rPr>
          <w:rFonts w:hint="eastAsia"/>
          <w:lang w:val="en-US" w:eastAsia="zh-CN"/>
        </w:rPr>
      </w:pPr>
    </w:p>
    <w:p w14:paraId="4D89C85C">
      <w:pPr>
        <w:rPr>
          <w:rFonts w:hint="eastAsia"/>
          <w:lang w:val="en-US" w:eastAsia="zh-CN"/>
        </w:rPr>
      </w:pPr>
    </w:p>
    <w:p w14:paraId="1C901575">
      <w:pPr>
        <w:rPr>
          <w:rFonts w:hint="eastAsia"/>
          <w:lang w:val="en-US" w:eastAsia="zh-CN"/>
        </w:rPr>
      </w:pPr>
    </w:p>
    <w:p w14:paraId="19D557E5">
      <w:pPr>
        <w:rPr>
          <w:rFonts w:hint="eastAsia"/>
          <w:lang w:val="en-US" w:eastAsia="zh-CN"/>
        </w:rPr>
      </w:pPr>
    </w:p>
    <w:p w14:paraId="2BA3E7E1">
      <w:pPr>
        <w:rPr>
          <w:rFonts w:hint="eastAsia"/>
          <w:lang w:val="en-US" w:eastAsia="zh-CN"/>
        </w:rPr>
      </w:pPr>
    </w:p>
    <w:p w14:paraId="7CD8251C">
      <w:pPr>
        <w:rPr>
          <w:rFonts w:hint="eastAsia"/>
          <w:lang w:val="en-US" w:eastAsia="zh-CN"/>
        </w:rPr>
      </w:pPr>
    </w:p>
    <w:p w14:paraId="1C5DA52C">
      <w:pPr>
        <w:ind w:left="0" w:leftChars="0" w:firstLine="0" w:firstLineChars="0"/>
        <w:jc w:val="center"/>
        <w:outlineLvl w:val="0"/>
        <w:rPr>
          <w:rFonts w:hint="eastAsia" w:ascii="Times New Roman" w:hAnsi="Times New Roman" w:eastAsia="方正小标宋简体" w:cs="Times New Roman"/>
          <w:b/>
          <w:bCs/>
          <w:color w:val="auto"/>
          <w:kern w:val="0"/>
          <w:sz w:val="24"/>
          <w:szCs w:val="24"/>
          <w:lang w:val="en-US" w:eastAsia="zh-CN" w:bidi="ar"/>
        </w:rPr>
      </w:pPr>
    </w:p>
    <w:p w14:paraId="1107D7FF">
      <w:pPr>
        <w:ind w:left="0" w:leftChars="0" w:firstLine="0" w:firstLineChars="0"/>
        <w:jc w:val="both"/>
        <w:outlineLvl w:val="0"/>
        <w:rPr>
          <w:rFonts w:hint="eastAsia" w:ascii="黑体" w:hAnsi="黑体" w:eastAsia="黑体" w:cs="黑体"/>
          <w:b w:val="0"/>
          <w:bCs w:val="0"/>
          <w:color w:val="auto"/>
          <w:kern w:val="0"/>
          <w:sz w:val="28"/>
          <w:szCs w:val="28"/>
          <w:lang w:val="en-US" w:eastAsia="zh-CN" w:bidi="ar"/>
        </w:rPr>
      </w:pPr>
    </w:p>
    <w:p w14:paraId="4B5B1A2E">
      <w:pPr>
        <w:ind w:left="0" w:leftChars="0" w:firstLine="0" w:firstLineChars="0"/>
        <w:jc w:val="center"/>
        <w:outlineLvl w:val="0"/>
        <w:rPr>
          <w:rFonts w:hint="eastAsia" w:ascii="黑体" w:hAnsi="黑体" w:eastAsia="黑体" w:cs="黑体"/>
          <w:b w:val="0"/>
          <w:bCs w:val="0"/>
          <w:color w:val="auto"/>
          <w:kern w:val="0"/>
          <w:sz w:val="28"/>
          <w:szCs w:val="28"/>
          <w:lang w:val="en-US" w:eastAsia="zh-CN" w:bidi="ar"/>
        </w:rPr>
      </w:pPr>
    </w:p>
    <w:p w14:paraId="655AE95E">
      <w:pPr>
        <w:ind w:left="0" w:leftChars="0" w:firstLine="0" w:firstLineChars="0"/>
        <w:jc w:val="center"/>
        <w:outlineLvl w:val="0"/>
        <w:rPr>
          <w:rFonts w:hint="eastAsia" w:ascii="黑体" w:hAnsi="黑体" w:eastAsia="黑体" w:cs="黑体"/>
          <w:b w:val="0"/>
          <w:bCs w:val="0"/>
          <w:color w:val="auto"/>
          <w:kern w:val="0"/>
          <w:sz w:val="28"/>
          <w:szCs w:val="28"/>
          <w:lang w:val="en-US" w:eastAsia="zh-CN" w:bidi="ar"/>
        </w:rPr>
      </w:pPr>
      <w:bookmarkStart w:id="9" w:name="_Toc17830"/>
      <w:bookmarkStart w:id="10" w:name="_Toc11179"/>
      <w:r>
        <w:rPr>
          <w:rFonts w:hint="eastAsia" w:ascii="黑体" w:hAnsi="黑体" w:eastAsia="黑体" w:cs="黑体"/>
          <w:b w:val="0"/>
          <w:bCs w:val="0"/>
          <w:color w:val="auto"/>
          <w:kern w:val="0"/>
          <w:sz w:val="28"/>
          <w:szCs w:val="28"/>
          <w:lang w:val="en-US" w:eastAsia="zh-CN" w:bidi="ar"/>
        </w:rPr>
        <w:t>2025年6月</w:t>
      </w:r>
      <w:bookmarkEnd w:id="9"/>
      <w:bookmarkEnd w:id="10"/>
    </w:p>
    <w:p w14:paraId="2BB69455">
      <w:pPr>
        <w:ind w:left="0" w:leftChars="0" w:firstLine="0" w:firstLineChars="0"/>
        <w:jc w:val="center"/>
        <w:outlineLvl w:val="0"/>
        <w:rPr>
          <w:rFonts w:hint="eastAsia" w:ascii="黑体" w:hAnsi="黑体" w:eastAsia="黑体" w:cs="黑体"/>
          <w:b w:val="0"/>
          <w:bCs w:val="0"/>
          <w:color w:val="auto"/>
          <w:kern w:val="0"/>
          <w:sz w:val="28"/>
          <w:szCs w:val="28"/>
          <w:lang w:val="en-US" w:eastAsia="zh-CN" w:bidi="ar"/>
        </w:rPr>
      </w:pPr>
    </w:p>
    <w:p w14:paraId="1C2D8205">
      <w:pPr>
        <w:keepNext w:val="0"/>
        <w:keepLines w:val="0"/>
        <w:pageBreakBefore w:val="0"/>
        <w:widowControl w:val="0"/>
        <w:numPr>
          <w:ilvl w:val="0"/>
          <w:numId w:val="0"/>
        </w:numPr>
        <w:tabs>
          <w:tab w:val="left" w:pos="2325"/>
        </w:tabs>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1"/>
        <w:rPr>
          <w:rFonts w:ascii="宋体" w:hAnsi="宋体" w:eastAsia="宋体" w:cstheme="minorBidi"/>
          <w:kern w:val="2"/>
          <w:sz w:val="21"/>
          <w:szCs w:val="24"/>
          <w:lang w:val="en-US" w:eastAsia="zh-CN" w:bidi="ar-SA"/>
        </w:rPr>
        <w:sectPr>
          <w:pgSz w:w="11906" w:h="16838"/>
          <w:pgMar w:top="1440" w:right="1800" w:bottom="1440" w:left="1800" w:header="851" w:footer="992" w:gutter="0"/>
          <w:pgNumType w:fmt="decimal" w:start="1"/>
          <w:cols w:space="425" w:num="1"/>
          <w:docGrid w:type="lines" w:linePitch="312" w:charSpace="0"/>
        </w:sectPr>
      </w:pPr>
      <w:bookmarkStart w:id="11" w:name="_Toc12253"/>
      <w:bookmarkStart w:id="12" w:name="_Toc8549"/>
    </w:p>
    <w:sdt>
      <w:sdtPr>
        <w:rPr>
          <w:rFonts w:ascii="宋体" w:hAnsi="宋体" w:eastAsia="宋体" w:cstheme="minorBidi"/>
          <w:kern w:val="2"/>
          <w:sz w:val="21"/>
          <w:szCs w:val="24"/>
          <w:lang w:val="en-US" w:eastAsia="zh-CN" w:bidi="ar-SA"/>
        </w:rPr>
        <w:id w:val="147472761"/>
        <w15:color w:val="DBDBDB"/>
        <w:docPartObj>
          <w:docPartGallery w:val="Table of Contents"/>
          <w:docPartUnique/>
        </w:docPartObj>
      </w:sdtPr>
      <w:sdtEndPr>
        <w:rPr>
          <w:rFonts w:hint="eastAsia" w:asciiTheme="majorEastAsia" w:hAnsiTheme="majorEastAsia" w:eastAsiaTheme="majorEastAsia" w:cstheme="majorEastAsia"/>
          <w:b/>
          <w:kern w:val="2"/>
          <w:sz w:val="21"/>
          <w:szCs w:val="24"/>
          <w:lang w:val="en-US" w:eastAsia="zh-CN" w:bidi="ar-SA"/>
        </w:rPr>
      </w:sdtEndPr>
      <w:sdtContent>
        <w:p w14:paraId="5C625506">
          <w:pPr>
            <w:keepNext w:val="0"/>
            <w:keepLines w:val="0"/>
            <w:pageBreakBefore w:val="0"/>
            <w:widowControl w:val="0"/>
            <w:numPr>
              <w:ilvl w:val="0"/>
              <w:numId w:val="0"/>
            </w:numPr>
            <w:tabs>
              <w:tab w:val="left" w:pos="2325"/>
            </w:tabs>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1"/>
            <w:rPr>
              <w:rFonts w:hint="eastAsia" w:asciiTheme="majorEastAsia" w:hAnsiTheme="majorEastAsia" w:eastAsiaTheme="majorEastAsia" w:cstheme="majorEastAsia"/>
              <w:b w:val="0"/>
              <w:bCs w:val="0"/>
              <w:kern w:val="2"/>
              <w:sz w:val="21"/>
              <w:szCs w:val="24"/>
              <w:lang w:val="en-US" w:eastAsia="zh-CN" w:bidi="ar-SA"/>
            </w:rPr>
          </w:pPr>
          <w:bookmarkStart w:id="13" w:name="_Toc11837"/>
          <w:bookmarkStart w:id="14" w:name="_Toc5469"/>
          <w:bookmarkStart w:id="15" w:name="_Toc21461"/>
          <w:r>
            <w:rPr>
              <w:rFonts w:ascii="宋体" w:hAnsi="宋体" w:eastAsia="宋体"/>
              <w:b/>
              <w:bCs/>
              <w:sz w:val="24"/>
              <w:szCs w:val="24"/>
            </w:rPr>
            <w:t>目</w:t>
          </w:r>
          <w:r>
            <w:rPr>
              <w:rFonts w:hint="eastAsia" w:ascii="宋体" w:hAnsi="宋体" w:eastAsia="宋体"/>
              <w:b/>
              <w:bCs/>
              <w:sz w:val="24"/>
              <w:szCs w:val="24"/>
              <w:lang w:val="en-US" w:eastAsia="zh-CN"/>
            </w:rPr>
            <w:t xml:space="preserve"> </w:t>
          </w:r>
          <w:r>
            <w:rPr>
              <w:rFonts w:ascii="宋体" w:hAnsi="宋体" w:eastAsia="宋体"/>
              <w:b/>
              <w:bCs/>
              <w:sz w:val="24"/>
              <w:szCs w:val="24"/>
            </w:rPr>
            <w:t>录</w:t>
          </w:r>
          <w:bookmarkEnd w:id="11"/>
          <w:bookmarkEnd w:id="12"/>
          <w:bookmarkEnd w:id="13"/>
          <w:bookmarkEnd w:id="14"/>
          <w:bookmarkEnd w:id="15"/>
          <w:r>
            <w:rPr>
              <w:rFonts w:hint="eastAsia" w:asciiTheme="majorEastAsia" w:hAnsiTheme="majorEastAsia" w:eastAsiaTheme="majorEastAsia" w:cstheme="majorEastAsia"/>
              <w:b w:val="0"/>
              <w:bCs w:val="0"/>
              <w:lang w:val="en-US" w:eastAsia="zh-CN"/>
            </w:rPr>
            <w:fldChar w:fldCharType="begin"/>
          </w:r>
          <w:r>
            <w:rPr>
              <w:rFonts w:hint="eastAsia" w:asciiTheme="majorEastAsia" w:hAnsiTheme="majorEastAsia" w:eastAsiaTheme="majorEastAsia" w:cstheme="majorEastAsia"/>
              <w:b w:val="0"/>
              <w:bCs w:val="0"/>
              <w:lang w:val="en-US" w:eastAsia="zh-CN"/>
            </w:rPr>
            <w:instrText xml:space="preserve">TOC \o "1-2" \h \u </w:instrText>
          </w:r>
          <w:r>
            <w:rPr>
              <w:rFonts w:hint="eastAsia" w:asciiTheme="majorEastAsia" w:hAnsiTheme="majorEastAsia" w:eastAsiaTheme="majorEastAsia" w:cstheme="majorEastAsia"/>
              <w:b w:val="0"/>
              <w:bCs w:val="0"/>
              <w:lang w:val="en-US" w:eastAsia="zh-CN"/>
            </w:rPr>
            <w:fldChar w:fldCharType="separate"/>
          </w:r>
        </w:p>
        <w:p w14:paraId="2654F9F8">
          <w:pPr>
            <w:pStyle w:val="10"/>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_Toc518 </w:instrText>
          </w:r>
          <w:r>
            <w:rPr>
              <w:rFonts w:hint="eastAsia" w:asciiTheme="majorEastAsia" w:hAnsiTheme="majorEastAsia" w:eastAsiaTheme="majorEastAsia" w:cstheme="majorEastAsia"/>
              <w:bCs w:val="0"/>
              <w:lang w:val="en-US" w:eastAsia="zh-CN"/>
            </w:rPr>
            <w:fldChar w:fldCharType="separate"/>
          </w:r>
          <w:r>
            <w:rPr>
              <w:rFonts w:hint="eastAsia" w:ascii="黑体" w:hAnsi="黑体" w:eastAsia="黑体" w:cs="黑体"/>
              <w:szCs w:val="32"/>
              <w:lang w:val="en-US" w:eastAsia="zh-CN"/>
            </w:rPr>
            <w:t>前 言</w:t>
          </w:r>
          <w:r>
            <w:tab/>
          </w:r>
          <w:r>
            <w:fldChar w:fldCharType="begin"/>
          </w:r>
          <w:r>
            <w:instrText xml:space="preserve"> PAGEREF _Toc518 \h </w:instrText>
          </w:r>
          <w:r>
            <w:fldChar w:fldCharType="separate"/>
          </w:r>
          <w:r>
            <w:t>1</w:t>
          </w:r>
          <w:r>
            <w:fldChar w:fldCharType="end"/>
          </w:r>
          <w:r>
            <w:rPr>
              <w:rFonts w:hint="eastAsia" w:asciiTheme="majorEastAsia" w:hAnsiTheme="majorEastAsia" w:eastAsiaTheme="majorEastAsia" w:cstheme="majorEastAsia"/>
              <w:bCs w:val="0"/>
              <w:lang w:val="en-US" w:eastAsia="zh-CN"/>
            </w:rPr>
            <w:fldChar w:fldCharType="end"/>
          </w:r>
        </w:p>
        <w:p w14:paraId="6503FF3C">
          <w:pPr>
            <w:pStyle w:val="10"/>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_Toc13817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第一章  总体要求</w:t>
          </w:r>
          <w:r>
            <w:tab/>
          </w:r>
          <w:r>
            <w:fldChar w:fldCharType="begin"/>
          </w:r>
          <w:r>
            <w:instrText xml:space="preserve"> PAGEREF _Toc13817 \h </w:instrText>
          </w:r>
          <w:r>
            <w:fldChar w:fldCharType="separate"/>
          </w:r>
          <w:r>
            <w:t>2</w:t>
          </w:r>
          <w:r>
            <w:fldChar w:fldCharType="end"/>
          </w:r>
          <w:r>
            <w:rPr>
              <w:rFonts w:hint="eastAsia" w:asciiTheme="majorEastAsia" w:hAnsiTheme="majorEastAsia" w:eastAsiaTheme="majorEastAsia" w:cstheme="majorEastAsia"/>
              <w:bCs w:val="0"/>
              <w:lang w:val="en-US" w:eastAsia="zh-CN"/>
            </w:rPr>
            <w:fldChar w:fldCharType="end"/>
          </w:r>
        </w:p>
        <w:p w14:paraId="6C802380">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_Toc17482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一、 基本原则</w:t>
          </w:r>
          <w:r>
            <w:tab/>
          </w:r>
          <w:r>
            <w:fldChar w:fldCharType="begin"/>
          </w:r>
          <w:r>
            <w:instrText xml:space="preserve"> PAGEREF _Toc17482 \h </w:instrText>
          </w:r>
          <w:r>
            <w:fldChar w:fldCharType="separate"/>
          </w:r>
          <w:r>
            <w:t>2</w:t>
          </w:r>
          <w:r>
            <w:fldChar w:fldCharType="end"/>
          </w:r>
          <w:r>
            <w:rPr>
              <w:rFonts w:hint="eastAsia" w:asciiTheme="majorEastAsia" w:hAnsiTheme="majorEastAsia" w:eastAsiaTheme="majorEastAsia" w:cstheme="majorEastAsia"/>
              <w:bCs w:val="0"/>
              <w:lang w:val="en-US" w:eastAsia="zh-CN"/>
            </w:rPr>
            <w:fldChar w:fldCharType="end"/>
          </w:r>
        </w:p>
        <w:p w14:paraId="449FC6F3">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_Toc22472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二、 侯马市发展定位</w:t>
          </w:r>
          <w:r>
            <w:tab/>
          </w:r>
          <w:r>
            <w:fldChar w:fldCharType="begin"/>
          </w:r>
          <w:r>
            <w:instrText xml:space="preserve"> PAGEREF _Toc22472 \h </w:instrText>
          </w:r>
          <w:r>
            <w:fldChar w:fldCharType="separate"/>
          </w:r>
          <w:r>
            <w:t>2</w:t>
          </w:r>
          <w:r>
            <w:fldChar w:fldCharType="end"/>
          </w:r>
          <w:r>
            <w:rPr>
              <w:rFonts w:hint="eastAsia" w:asciiTheme="majorEastAsia" w:hAnsiTheme="majorEastAsia" w:eastAsiaTheme="majorEastAsia" w:cstheme="majorEastAsia"/>
              <w:bCs w:val="0"/>
              <w:lang w:val="en-US" w:eastAsia="zh-CN"/>
            </w:rPr>
            <w:fldChar w:fldCharType="end"/>
          </w:r>
        </w:p>
        <w:p w14:paraId="2FBA0D3C">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_Toc27437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三、 发展目标</w:t>
          </w:r>
          <w:r>
            <w:tab/>
          </w:r>
          <w:r>
            <w:fldChar w:fldCharType="begin"/>
          </w:r>
          <w:r>
            <w:instrText xml:space="preserve"> PAGEREF _Toc27437 \h </w:instrText>
          </w:r>
          <w:r>
            <w:fldChar w:fldCharType="separate"/>
          </w:r>
          <w:r>
            <w:t>2</w:t>
          </w:r>
          <w:r>
            <w:fldChar w:fldCharType="end"/>
          </w:r>
          <w:r>
            <w:rPr>
              <w:rFonts w:hint="eastAsia" w:asciiTheme="majorEastAsia" w:hAnsiTheme="majorEastAsia" w:eastAsiaTheme="majorEastAsia" w:cstheme="majorEastAsia"/>
              <w:bCs w:val="0"/>
              <w:lang w:val="en-US" w:eastAsia="zh-CN"/>
            </w:rPr>
            <w:fldChar w:fldCharType="end"/>
          </w:r>
        </w:p>
        <w:p w14:paraId="47F124F1">
          <w:pPr>
            <w:pStyle w:val="10"/>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_Toc27603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第二章  优化城镇空间发展格局</w:t>
          </w:r>
          <w:r>
            <w:tab/>
          </w:r>
          <w:r>
            <w:fldChar w:fldCharType="begin"/>
          </w:r>
          <w:r>
            <w:instrText xml:space="preserve"> PAGEREF _Toc27603 \h </w:instrText>
          </w:r>
          <w:r>
            <w:fldChar w:fldCharType="separate"/>
          </w:r>
          <w:r>
            <w:t>3</w:t>
          </w:r>
          <w:r>
            <w:fldChar w:fldCharType="end"/>
          </w:r>
          <w:r>
            <w:rPr>
              <w:rFonts w:hint="eastAsia" w:asciiTheme="majorEastAsia" w:hAnsiTheme="majorEastAsia" w:eastAsiaTheme="majorEastAsia" w:cstheme="majorEastAsia"/>
              <w:bCs w:val="0"/>
              <w:lang w:val="en-US" w:eastAsia="zh-CN"/>
            </w:rPr>
            <w:fldChar w:fldCharType="end"/>
          </w:r>
        </w:p>
        <w:p w14:paraId="119FCC9A">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_Toc3090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一、 构建多层次的城镇体系</w:t>
          </w:r>
          <w:r>
            <w:tab/>
          </w:r>
          <w:r>
            <w:fldChar w:fldCharType="begin"/>
          </w:r>
          <w:r>
            <w:instrText xml:space="preserve"> PAGEREF _Toc3090 \h </w:instrText>
          </w:r>
          <w:r>
            <w:fldChar w:fldCharType="separate"/>
          </w:r>
          <w:r>
            <w:t>3</w:t>
          </w:r>
          <w:r>
            <w:fldChar w:fldCharType="end"/>
          </w:r>
          <w:r>
            <w:rPr>
              <w:rFonts w:hint="eastAsia" w:asciiTheme="majorEastAsia" w:hAnsiTheme="majorEastAsia" w:eastAsiaTheme="majorEastAsia" w:cstheme="majorEastAsia"/>
              <w:bCs w:val="0"/>
              <w:lang w:val="en-US" w:eastAsia="zh-CN"/>
            </w:rPr>
            <w:fldChar w:fldCharType="end"/>
          </w:r>
        </w:p>
        <w:p w14:paraId="22E2A77B">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_Toc3249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二、 推进以县城为核心的城镇化建设</w:t>
          </w:r>
          <w:r>
            <w:tab/>
          </w:r>
          <w:r>
            <w:fldChar w:fldCharType="begin"/>
          </w:r>
          <w:r>
            <w:instrText xml:space="preserve"> PAGEREF _Toc3249 \h </w:instrText>
          </w:r>
          <w:r>
            <w:fldChar w:fldCharType="separate"/>
          </w:r>
          <w:r>
            <w:t>3</w:t>
          </w:r>
          <w:r>
            <w:fldChar w:fldCharType="end"/>
          </w:r>
          <w:r>
            <w:rPr>
              <w:rFonts w:hint="eastAsia" w:asciiTheme="majorEastAsia" w:hAnsiTheme="majorEastAsia" w:eastAsiaTheme="majorEastAsia" w:cstheme="majorEastAsia"/>
              <w:bCs w:val="0"/>
              <w:lang w:val="en-US" w:eastAsia="zh-CN"/>
            </w:rPr>
            <w:fldChar w:fldCharType="end"/>
          </w:r>
        </w:p>
        <w:p w14:paraId="66FBAE95">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_Toc20208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三、 城乡居民点体系和职能结构</w:t>
          </w:r>
          <w:r>
            <w:tab/>
          </w:r>
          <w:r>
            <w:fldChar w:fldCharType="begin"/>
          </w:r>
          <w:r>
            <w:instrText xml:space="preserve"> PAGEREF _Toc20208 \h </w:instrText>
          </w:r>
          <w:r>
            <w:fldChar w:fldCharType="separate"/>
          </w:r>
          <w:r>
            <w:t>3</w:t>
          </w:r>
          <w:r>
            <w:fldChar w:fldCharType="end"/>
          </w:r>
          <w:r>
            <w:rPr>
              <w:rFonts w:hint="eastAsia" w:asciiTheme="majorEastAsia" w:hAnsiTheme="majorEastAsia" w:eastAsiaTheme="majorEastAsia" w:cstheme="majorEastAsia"/>
              <w:bCs w:val="0"/>
              <w:lang w:val="en-US" w:eastAsia="zh-CN"/>
            </w:rPr>
            <w:fldChar w:fldCharType="end"/>
          </w:r>
        </w:p>
        <w:p w14:paraId="0863117D">
          <w:pPr>
            <w:pStyle w:val="10"/>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_Toc17233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第三章  推进农业转移人口市民化进程</w:t>
          </w:r>
          <w:r>
            <w:tab/>
          </w:r>
          <w:r>
            <w:fldChar w:fldCharType="begin"/>
          </w:r>
          <w:r>
            <w:instrText xml:space="preserve"> PAGEREF _Toc17233 \h </w:instrText>
          </w:r>
          <w:r>
            <w:fldChar w:fldCharType="separate"/>
          </w:r>
          <w:r>
            <w:t>4</w:t>
          </w:r>
          <w:r>
            <w:fldChar w:fldCharType="end"/>
          </w:r>
          <w:r>
            <w:rPr>
              <w:rFonts w:hint="eastAsia" w:asciiTheme="majorEastAsia" w:hAnsiTheme="majorEastAsia" w:eastAsiaTheme="majorEastAsia" w:cstheme="majorEastAsia"/>
              <w:bCs w:val="0"/>
              <w:lang w:val="en-US" w:eastAsia="zh-CN"/>
            </w:rPr>
            <w:fldChar w:fldCharType="end"/>
          </w:r>
        </w:p>
        <w:p w14:paraId="6ED9D191">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_Toc24192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 xml:space="preserve">一、 </w:t>
          </w:r>
          <w:r>
            <w:rPr>
              <w:rFonts w:hint="default"/>
              <w:lang w:val="en-US" w:eastAsia="zh-CN"/>
            </w:rPr>
            <w:t>完善人口市民化保障机制</w:t>
          </w:r>
          <w:r>
            <w:tab/>
          </w:r>
          <w:r>
            <w:fldChar w:fldCharType="begin"/>
          </w:r>
          <w:r>
            <w:instrText xml:space="preserve"> PAGEREF _Toc24192 \h </w:instrText>
          </w:r>
          <w:r>
            <w:fldChar w:fldCharType="separate"/>
          </w:r>
          <w:r>
            <w:t>5</w:t>
          </w:r>
          <w:r>
            <w:fldChar w:fldCharType="end"/>
          </w:r>
          <w:r>
            <w:rPr>
              <w:rFonts w:hint="eastAsia" w:asciiTheme="majorEastAsia" w:hAnsiTheme="majorEastAsia" w:eastAsiaTheme="majorEastAsia" w:cstheme="majorEastAsia"/>
              <w:bCs w:val="0"/>
              <w:lang w:val="en-US" w:eastAsia="zh-CN"/>
            </w:rPr>
            <w:fldChar w:fldCharType="end"/>
          </w:r>
        </w:p>
        <w:p w14:paraId="479ECE41">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_Toc26344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二、 进一步深化户籍制度改革</w:t>
          </w:r>
          <w:r>
            <w:tab/>
          </w:r>
          <w:r>
            <w:fldChar w:fldCharType="begin"/>
          </w:r>
          <w:r>
            <w:instrText xml:space="preserve"> PAGEREF _Toc26344 \h </w:instrText>
          </w:r>
          <w:r>
            <w:fldChar w:fldCharType="separate"/>
          </w:r>
          <w:r>
            <w:t>5</w:t>
          </w:r>
          <w:r>
            <w:fldChar w:fldCharType="end"/>
          </w:r>
          <w:r>
            <w:rPr>
              <w:rFonts w:hint="eastAsia" w:asciiTheme="majorEastAsia" w:hAnsiTheme="majorEastAsia" w:eastAsiaTheme="majorEastAsia" w:cstheme="majorEastAsia"/>
              <w:bCs w:val="0"/>
              <w:lang w:val="en-US" w:eastAsia="zh-CN"/>
            </w:rPr>
            <w:fldChar w:fldCharType="end"/>
          </w:r>
        </w:p>
        <w:p w14:paraId="34DA2420">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_Toc14086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三、 加快城镇基本公共服务均等化</w:t>
          </w:r>
          <w:r>
            <w:tab/>
          </w:r>
          <w:r>
            <w:fldChar w:fldCharType="begin"/>
          </w:r>
          <w:r>
            <w:instrText xml:space="preserve"> PAGEREF _Toc14086 \h </w:instrText>
          </w:r>
          <w:r>
            <w:fldChar w:fldCharType="separate"/>
          </w:r>
          <w:r>
            <w:t>5</w:t>
          </w:r>
          <w:r>
            <w:fldChar w:fldCharType="end"/>
          </w:r>
          <w:r>
            <w:rPr>
              <w:rFonts w:hint="eastAsia" w:asciiTheme="majorEastAsia" w:hAnsiTheme="majorEastAsia" w:eastAsiaTheme="majorEastAsia" w:cstheme="majorEastAsia"/>
              <w:bCs w:val="0"/>
              <w:lang w:val="en-US" w:eastAsia="zh-CN"/>
            </w:rPr>
            <w:fldChar w:fldCharType="end"/>
          </w:r>
        </w:p>
        <w:p w14:paraId="20EE2378">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_Toc25887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四、 增强农业转移人口融入县城能力</w:t>
          </w:r>
          <w:r>
            <w:tab/>
          </w:r>
          <w:r>
            <w:fldChar w:fldCharType="begin"/>
          </w:r>
          <w:r>
            <w:instrText xml:space="preserve"> PAGEREF _Toc25887 \h </w:instrText>
          </w:r>
          <w:r>
            <w:fldChar w:fldCharType="separate"/>
          </w:r>
          <w:r>
            <w:t>7</w:t>
          </w:r>
          <w:r>
            <w:fldChar w:fldCharType="end"/>
          </w:r>
          <w:r>
            <w:rPr>
              <w:rFonts w:hint="eastAsia" w:asciiTheme="majorEastAsia" w:hAnsiTheme="majorEastAsia" w:eastAsiaTheme="majorEastAsia" w:cstheme="majorEastAsia"/>
              <w:bCs w:val="0"/>
              <w:lang w:val="en-US" w:eastAsia="zh-CN"/>
            </w:rPr>
            <w:fldChar w:fldCharType="end"/>
          </w:r>
        </w:p>
        <w:p w14:paraId="38DDAB32">
          <w:pPr>
            <w:pStyle w:val="10"/>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_Toc12326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第四章  提升特色优势产业支撑能力</w:t>
          </w:r>
          <w:r>
            <w:tab/>
          </w:r>
          <w:r>
            <w:fldChar w:fldCharType="begin"/>
          </w:r>
          <w:r>
            <w:instrText xml:space="preserve"> PAGEREF _Toc12326 \h </w:instrText>
          </w:r>
          <w:r>
            <w:fldChar w:fldCharType="separate"/>
          </w:r>
          <w:r>
            <w:t>7</w:t>
          </w:r>
          <w:r>
            <w:fldChar w:fldCharType="end"/>
          </w:r>
          <w:r>
            <w:rPr>
              <w:rFonts w:hint="eastAsia" w:asciiTheme="majorEastAsia" w:hAnsiTheme="majorEastAsia" w:eastAsiaTheme="majorEastAsia" w:cstheme="majorEastAsia"/>
              <w:bCs w:val="0"/>
              <w:lang w:val="en-US" w:eastAsia="zh-CN"/>
            </w:rPr>
            <w:fldChar w:fldCharType="end"/>
          </w:r>
        </w:p>
        <w:p w14:paraId="23D8FFF2">
          <w:pPr>
            <w:pStyle w:val="10"/>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_Toc32010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第五章  提升城市发展品质</w:t>
          </w:r>
          <w:r>
            <w:tab/>
          </w:r>
          <w:r>
            <w:fldChar w:fldCharType="begin"/>
          </w:r>
          <w:r>
            <w:instrText xml:space="preserve"> PAGEREF _Toc32010 \h </w:instrText>
          </w:r>
          <w:r>
            <w:fldChar w:fldCharType="separate"/>
          </w:r>
          <w:r>
            <w:t>8</w:t>
          </w:r>
          <w:r>
            <w:fldChar w:fldCharType="end"/>
          </w:r>
          <w:r>
            <w:rPr>
              <w:rFonts w:hint="eastAsia" w:asciiTheme="majorEastAsia" w:hAnsiTheme="majorEastAsia" w:eastAsiaTheme="majorEastAsia" w:cstheme="majorEastAsia"/>
              <w:bCs w:val="0"/>
              <w:lang w:val="en-US" w:eastAsia="zh-CN"/>
            </w:rPr>
            <w:fldChar w:fldCharType="end"/>
          </w:r>
        </w:p>
        <w:p w14:paraId="1A068AB2">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_Toc17063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一、 推进城乡居住条件改善</w:t>
          </w:r>
          <w:r>
            <w:tab/>
          </w:r>
          <w:r>
            <w:fldChar w:fldCharType="begin"/>
          </w:r>
          <w:r>
            <w:instrText xml:space="preserve"> PAGEREF _Toc17063 \h </w:instrText>
          </w:r>
          <w:r>
            <w:fldChar w:fldCharType="separate"/>
          </w:r>
          <w:r>
            <w:t>8</w:t>
          </w:r>
          <w:r>
            <w:fldChar w:fldCharType="end"/>
          </w:r>
          <w:r>
            <w:rPr>
              <w:rFonts w:hint="eastAsia" w:asciiTheme="majorEastAsia" w:hAnsiTheme="majorEastAsia" w:eastAsiaTheme="majorEastAsia" w:cstheme="majorEastAsia"/>
              <w:bCs w:val="0"/>
              <w:lang w:val="en-US" w:eastAsia="zh-CN"/>
            </w:rPr>
            <w:fldChar w:fldCharType="end"/>
          </w:r>
        </w:p>
        <w:p w14:paraId="375E041B">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_Toc2662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二、 加强基础设施升级改造</w:t>
          </w:r>
          <w:r>
            <w:tab/>
          </w:r>
          <w:r>
            <w:fldChar w:fldCharType="begin"/>
          </w:r>
          <w:r>
            <w:instrText xml:space="preserve"> PAGEREF _Toc2662 \h </w:instrText>
          </w:r>
          <w:r>
            <w:fldChar w:fldCharType="separate"/>
          </w:r>
          <w:r>
            <w:t>9</w:t>
          </w:r>
          <w:r>
            <w:fldChar w:fldCharType="end"/>
          </w:r>
          <w:r>
            <w:rPr>
              <w:rFonts w:hint="eastAsia" w:asciiTheme="majorEastAsia" w:hAnsiTheme="majorEastAsia" w:eastAsiaTheme="majorEastAsia" w:cstheme="majorEastAsia"/>
              <w:bCs w:val="0"/>
              <w:lang w:val="en-US" w:eastAsia="zh-CN"/>
            </w:rPr>
            <w:fldChar w:fldCharType="end"/>
          </w:r>
        </w:p>
        <w:p w14:paraId="29C2F93E">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_Toc20758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三、 提升交通发展水平</w:t>
          </w:r>
          <w:r>
            <w:tab/>
          </w:r>
          <w:r>
            <w:fldChar w:fldCharType="begin"/>
          </w:r>
          <w:r>
            <w:instrText xml:space="preserve"> PAGEREF _Toc20758 \h </w:instrText>
          </w:r>
          <w:r>
            <w:fldChar w:fldCharType="separate"/>
          </w:r>
          <w:r>
            <w:t>12</w:t>
          </w:r>
          <w:r>
            <w:fldChar w:fldCharType="end"/>
          </w:r>
          <w:r>
            <w:rPr>
              <w:rFonts w:hint="eastAsia" w:asciiTheme="majorEastAsia" w:hAnsiTheme="majorEastAsia" w:eastAsiaTheme="majorEastAsia" w:cstheme="majorEastAsia"/>
              <w:bCs w:val="0"/>
              <w:lang w:val="en-US" w:eastAsia="zh-CN"/>
            </w:rPr>
            <w:fldChar w:fldCharType="end"/>
          </w:r>
        </w:p>
        <w:p w14:paraId="4E3AD740">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_Toc11310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四、 优化公共服务供给</w:t>
          </w:r>
          <w:r>
            <w:tab/>
          </w:r>
          <w:r>
            <w:fldChar w:fldCharType="begin"/>
          </w:r>
          <w:r>
            <w:instrText xml:space="preserve"> PAGEREF _Toc11310 \h </w:instrText>
          </w:r>
          <w:r>
            <w:fldChar w:fldCharType="separate"/>
          </w:r>
          <w:r>
            <w:t>13</w:t>
          </w:r>
          <w:r>
            <w:fldChar w:fldCharType="end"/>
          </w:r>
          <w:r>
            <w:rPr>
              <w:rFonts w:hint="eastAsia" w:asciiTheme="majorEastAsia" w:hAnsiTheme="majorEastAsia" w:eastAsiaTheme="majorEastAsia" w:cstheme="majorEastAsia"/>
              <w:bCs w:val="0"/>
              <w:lang w:val="en-US" w:eastAsia="zh-CN"/>
            </w:rPr>
            <w:fldChar w:fldCharType="end"/>
          </w:r>
        </w:p>
        <w:p w14:paraId="0BEC3119">
          <w:pPr>
            <w:pStyle w:val="10"/>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_Toc12958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第六章 城乡融合一体化发展</w:t>
          </w:r>
          <w:r>
            <w:tab/>
          </w:r>
          <w:r>
            <w:fldChar w:fldCharType="begin"/>
          </w:r>
          <w:r>
            <w:instrText xml:space="preserve"> PAGEREF _Toc12958 \h </w:instrText>
          </w:r>
          <w:r>
            <w:fldChar w:fldCharType="separate"/>
          </w:r>
          <w:r>
            <w:t>15</w:t>
          </w:r>
          <w:r>
            <w:fldChar w:fldCharType="end"/>
          </w:r>
          <w:r>
            <w:rPr>
              <w:rFonts w:hint="eastAsia" w:asciiTheme="majorEastAsia" w:hAnsiTheme="majorEastAsia" w:eastAsiaTheme="majorEastAsia" w:cstheme="majorEastAsia"/>
              <w:bCs w:val="0"/>
              <w:lang w:val="en-US" w:eastAsia="zh-CN"/>
            </w:rPr>
            <w:fldChar w:fldCharType="end"/>
          </w:r>
        </w:p>
        <w:p w14:paraId="5366083D">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_Toc10387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一、 统筹城乡顶层设计</w:t>
          </w:r>
          <w:r>
            <w:tab/>
          </w:r>
          <w:r>
            <w:fldChar w:fldCharType="begin"/>
          </w:r>
          <w:r>
            <w:instrText xml:space="preserve"> PAGEREF _Toc10387 \h </w:instrText>
          </w:r>
          <w:r>
            <w:fldChar w:fldCharType="separate"/>
          </w:r>
          <w:r>
            <w:t>15</w:t>
          </w:r>
          <w:r>
            <w:fldChar w:fldCharType="end"/>
          </w:r>
          <w:r>
            <w:rPr>
              <w:rFonts w:hint="eastAsia" w:asciiTheme="majorEastAsia" w:hAnsiTheme="majorEastAsia" w:eastAsiaTheme="majorEastAsia" w:cstheme="majorEastAsia"/>
              <w:bCs w:val="0"/>
              <w:lang w:val="en-US" w:eastAsia="zh-CN"/>
            </w:rPr>
            <w:fldChar w:fldCharType="end"/>
          </w:r>
        </w:p>
        <w:p w14:paraId="1238C67D">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_Toc31129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二、 强化城镇综合赋能</w:t>
          </w:r>
          <w:r>
            <w:tab/>
          </w:r>
          <w:r>
            <w:fldChar w:fldCharType="begin"/>
          </w:r>
          <w:r>
            <w:instrText xml:space="preserve"> PAGEREF _Toc31129 \h </w:instrText>
          </w:r>
          <w:r>
            <w:fldChar w:fldCharType="separate"/>
          </w:r>
          <w:r>
            <w:t>16</w:t>
          </w:r>
          <w:r>
            <w:fldChar w:fldCharType="end"/>
          </w:r>
          <w:r>
            <w:rPr>
              <w:rFonts w:hint="eastAsia" w:asciiTheme="majorEastAsia" w:hAnsiTheme="majorEastAsia" w:eastAsiaTheme="majorEastAsia" w:cstheme="majorEastAsia"/>
              <w:bCs w:val="0"/>
              <w:lang w:val="en-US" w:eastAsia="zh-CN"/>
            </w:rPr>
            <w:fldChar w:fldCharType="end"/>
          </w:r>
        </w:p>
        <w:p w14:paraId="53873C4B">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_Toc16841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三、 夯实城乡发展基础</w:t>
          </w:r>
          <w:r>
            <w:tab/>
          </w:r>
          <w:r>
            <w:fldChar w:fldCharType="begin"/>
          </w:r>
          <w:r>
            <w:instrText xml:space="preserve"> PAGEREF _Toc16841 \h </w:instrText>
          </w:r>
          <w:r>
            <w:fldChar w:fldCharType="separate"/>
          </w:r>
          <w:r>
            <w:t>16</w:t>
          </w:r>
          <w:r>
            <w:fldChar w:fldCharType="end"/>
          </w:r>
          <w:r>
            <w:rPr>
              <w:rFonts w:hint="eastAsia" w:asciiTheme="majorEastAsia" w:hAnsiTheme="majorEastAsia" w:eastAsiaTheme="majorEastAsia" w:cstheme="majorEastAsia"/>
              <w:bCs w:val="0"/>
              <w:lang w:val="en-US" w:eastAsia="zh-CN"/>
            </w:rPr>
            <w:fldChar w:fldCharType="end"/>
          </w:r>
        </w:p>
        <w:p w14:paraId="2BF8DF27">
          <w:pPr>
            <w:pStyle w:val="10"/>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_Toc31648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第七章 创新城镇化治理</w:t>
          </w:r>
          <w:r>
            <w:tab/>
          </w:r>
          <w:r>
            <w:fldChar w:fldCharType="begin"/>
          </w:r>
          <w:r>
            <w:instrText xml:space="preserve"> PAGEREF _Toc31648 \h </w:instrText>
          </w:r>
          <w:r>
            <w:fldChar w:fldCharType="separate"/>
          </w:r>
          <w:r>
            <w:t>17</w:t>
          </w:r>
          <w:r>
            <w:fldChar w:fldCharType="end"/>
          </w:r>
          <w:r>
            <w:rPr>
              <w:rFonts w:hint="eastAsia" w:asciiTheme="majorEastAsia" w:hAnsiTheme="majorEastAsia" w:eastAsiaTheme="majorEastAsia" w:cstheme="majorEastAsia"/>
              <w:bCs w:val="0"/>
              <w:lang w:val="en-US" w:eastAsia="zh-CN"/>
            </w:rPr>
            <w:fldChar w:fldCharType="end"/>
          </w:r>
        </w:p>
        <w:p w14:paraId="42EB02EC">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_Toc2649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一、 持续深化基层治理</w:t>
          </w:r>
          <w:r>
            <w:tab/>
          </w:r>
          <w:r>
            <w:fldChar w:fldCharType="begin"/>
          </w:r>
          <w:r>
            <w:instrText xml:space="preserve"> PAGEREF _Toc2649 \h </w:instrText>
          </w:r>
          <w:r>
            <w:fldChar w:fldCharType="separate"/>
          </w:r>
          <w:r>
            <w:t>17</w:t>
          </w:r>
          <w:r>
            <w:fldChar w:fldCharType="end"/>
          </w:r>
          <w:r>
            <w:rPr>
              <w:rFonts w:hint="eastAsia" w:asciiTheme="majorEastAsia" w:hAnsiTheme="majorEastAsia" w:eastAsiaTheme="majorEastAsia" w:cstheme="majorEastAsia"/>
              <w:bCs w:val="0"/>
              <w:lang w:val="en-US" w:eastAsia="zh-CN"/>
            </w:rPr>
            <w:fldChar w:fldCharType="end"/>
          </w:r>
        </w:p>
        <w:p w14:paraId="332BF5A2">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_Toc3876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二、 切实防范重大风险</w:t>
          </w:r>
          <w:r>
            <w:tab/>
          </w:r>
          <w:r>
            <w:fldChar w:fldCharType="begin"/>
          </w:r>
          <w:r>
            <w:instrText xml:space="preserve"> PAGEREF _Toc3876 \h </w:instrText>
          </w:r>
          <w:r>
            <w:fldChar w:fldCharType="separate"/>
          </w:r>
          <w:r>
            <w:t>17</w:t>
          </w:r>
          <w:r>
            <w:fldChar w:fldCharType="end"/>
          </w:r>
          <w:r>
            <w:rPr>
              <w:rFonts w:hint="eastAsia" w:asciiTheme="majorEastAsia" w:hAnsiTheme="majorEastAsia" w:eastAsiaTheme="majorEastAsia" w:cstheme="majorEastAsia"/>
              <w:bCs w:val="0"/>
              <w:lang w:val="en-US" w:eastAsia="zh-CN"/>
            </w:rPr>
            <w:fldChar w:fldCharType="end"/>
          </w:r>
        </w:p>
        <w:p w14:paraId="0796F9CB">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_Toc31951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三、 着力提升政务环境</w:t>
          </w:r>
          <w:r>
            <w:tab/>
          </w:r>
          <w:r>
            <w:fldChar w:fldCharType="begin"/>
          </w:r>
          <w:r>
            <w:instrText xml:space="preserve"> PAGEREF _Toc31951 \h </w:instrText>
          </w:r>
          <w:r>
            <w:fldChar w:fldCharType="separate"/>
          </w:r>
          <w:r>
            <w:t>18</w:t>
          </w:r>
          <w:r>
            <w:fldChar w:fldCharType="end"/>
          </w:r>
          <w:r>
            <w:rPr>
              <w:rFonts w:hint="eastAsia" w:asciiTheme="majorEastAsia" w:hAnsiTheme="majorEastAsia" w:eastAsiaTheme="majorEastAsia" w:cstheme="majorEastAsia"/>
              <w:bCs w:val="0"/>
              <w:lang w:val="en-US" w:eastAsia="zh-CN"/>
            </w:rPr>
            <w:fldChar w:fldCharType="end"/>
          </w:r>
        </w:p>
        <w:p w14:paraId="6DC542AE">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_Toc21212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四、 深入试点智慧城市</w:t>
          </w:r>
          <w:r>
            <w:tab/>
          </w:r>
          <w:r>
            <w:fldChar w:fldCharType="begin"/>
          </w:r>
          <w:r>
            <w:instrText xml:space="preserve"> PAGEREF _Toc21212 \h </w:instrText>
          </w:r>
          <w:r>
            <w:fldChar w:fldCharType="separate"/>
          </w:r>
          <w:r>
            <w:t>18</w:t>
          </w:r>
          <w:r>
            <w:fldChar w:fldCharType="end"/>
          </w:r>
          <w:r>
            <w:rPr>
              <w:rFonts w:hint="eastAsia" w:asciiTheme="majorEastAsia" w:hAnsiTheme="majorEastAsia" w:eastAsiaTheme="majorEastAsia" w:cstheme="majorEastAsia"/>
              <w:bCs w:val="0"/>
              <w:lang w:val="en-US" w:eastAsia="zh-CN"/>
            </w:rPr>
            <w:fldChar w:fldCharType="end"/>
          </w:r>
        </w:p>
        <w:p w14:paraId="78CE62CF">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_Toc31225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五、 完善新型监管机制</w:t>
          </w:r>
          <w:r>
            <w:tab/>
          </w:r>
          <w:r>
            <w:fldChar w:fldCharType="begin"/>
          </w:r>
          <w:r>
            <w:instrText xml:space="preserve"> PAGEREF _Toc31225 \h </w:instrText>
          </w:r>
          <w:r>
            <w:fldChar w:fldCharType="separate"/>
          </w:r>
          <w:r>
            <w:t>19</w:t>
          </w:r>
          <w:r>
            <w:fldChar w:fldCharType="end"/>
          </w:r>
          <w:r>
            <w:rPr>
              <w:rFonts w:hint="eastAsia" w:asciiTheme="majorEastAsia" w:hAnsiTheme="majorEastAsia" w:eastAsiaTheme="majorEastAsia" w:cstheme="majorEastAsia"/>
              <w:bCs w:val="0"/>
              <w:lang w:val="en-US" w:eastAsia="zh-CN"/>
            </w:rPr>
            <w:fldChar w:fldCharType="end"/>
          </w:r>
        </w:p>
        <w:p w14:paraId="37E62FA2">
          <w:pPr>
            <w:pStyle w:val="10"/>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_Toc13703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第八章  加强生态环境保护治理</w:t>
          </w:r>
          <w:r>
            <w:tab/>
          </w:r>
          <w:r>
            <w:fldChar w:fldCharType="begin"/>
          </w:r>
          <w:r>
            <w:instrText xml:space="preserve"> PAGEREF _Toc13703 \h </w:instrText>
          </w:r>
          <w:r>
            <w:fldChar w:fldCharType="separate"/>
          </w:r>
          <w:r>
            <w:t>19</w:t>
          </w:r>
          <w:r>
            <w:fldChar w:fldCharType="end"/>
          </w:r>
          <w:r>
            <w:rPr>
              <w:rFonts w:hint="eastAsia" w:asciiTheme="majorEastAsia" w:hAnsiTheme="majorEastAsia" w:eastAsiaTheme="majorEastAsia" w:cstheme="majorEastAsia"/>
              <w:bCs w:val="0"/>
              <w:lang w:val="en-US" w:eastAsia="zh-CN"/>
            </w:rPr>
            <w:fldChar w:fldCharType="end"/>
          </w:r>
        </w:p>
        <w:p w14:paraId="1EEA241B">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_Toc10779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一、 强化生态系统保护与修复</w:t>
          </w:r>
          <w:r>
            <w:tab/>
          </w:r>
          <w:r>
            <w:fldChar w:fldCharType="begin"/>
          </w:r>
          <w:r>
            <w:instrText xml:space="preserve"> PAGEREF _Toc10779 \h </w:instrText>
          </w:r>
          <w:r>
            <w:fldChar w:fldCharType="separate"/>
          </w:r>
          <w:r>
            <w:t>19</w:t>
          </w:r>
          <w:r>
            <w:fldChar w:fldCharType="end"/>
          </w:r>
          <w:r>
            <w:rPr>
              <w:rFonts w:hint="eastAsia" w:asciiTheme="majorEastAsia" w:hAnsiTheme="majorEastAsia" w:eastAsiaTheme="majorEastAsia" w:cstheme="majorEastAsia"/>
              <w:bCs w:val="0"/>
              <w:lang w:val="en-US" w:eastAsia="zh-CN"/>
            </w:rPr>
            <w:fldChar w:fldCharType="end"/>
          </w:r>
        </w:p>
        <w:p w14:paraId="033F54DB">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_Toc26835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二、 深入推进生态环境污染防治</w:t>
          </w:r>
          <w:r>
            <w:tab/>
          </w:r>
          <w:r>
            <w:fldChar w:fldCharType="begin"/>
          </w:r>
          <w:r>
            <w:instrText xml:space="preserve"> PAGEREF _Toc26835 \h </w:instrText>
          </w:r>
          <w:r>
            <w:fldChar w:fldCharType="separate"/>
          </w:r>
          <w:r>
            <w:t>20</w:t>
          </w:r>
          <w:r>
            <w:fldChar w:fldCharType="end"/>
          </w:r>
          <w:r>
            <w:rPr>
              <w:rFonts w:hint="eastAsia" w:asciiTheme="majorEastAsia" w:hAnsiTheme="majorEastAsia" w:eastAsiaTheme="majorEastAsia" w:cstheme="majorEastAsia"/>
              <w:bCs w:val="0"/>
              <w:lang w:val="en-US" w:eastAsia="zh-CN"/>
            </w:rPr>
            <w:fldChar w:fldCharType="end"/>
          </w:r>
        </w:p>
        <w:p w14:paraId="69B4A5BE">
          <w:pPr>
            <w:pStyle w:val="11"/>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_Toc24769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三、 构建现代环境治理体系和治理能力</w:t>
          </w:r>
          <w:r>
            <w:tab/>
          </w:r>
          <w:r>
            <w:fldChar w:fldCharType="begin"/>
          </w:r>
          <w:r>
            <w:instrText xml:space="preserve"> PAGEREF _Toc24769 \h </w:instrText>
          </w:r>
          <w:r>
            <w:fldChar w:fldCharType="separate"/>
          </w:r>
          <w:r>
            <w:t>21</w:t>
          </w:r>
          <w:r>
            <w:fldChar w:fldCharType="end"/>
          </w:r>
          <w:r>
            <w:rPr>
              <w:rFonts w:hint="eastAsia" w:asciiTheme="majorEastAsia" w:hAnsiTheme="majorEastAsia" w:eastAsiaTheme="majorEastAsia" w:cstheme="majorEastAsia"/>
              <w:bCs w:val="0"/>
              <w:lang w:val="en-US" w:eastAsia="zh-CN"/>
            </w:rPr>
            <w:fldChar w:fldCharType="end"/>
          </w:r>
        </w:p>
        <w:p w14:paraId="0FA7243D">
          <w:pPr>
            <w:pStyle w:val="10"/>
            <w:tabs>
              <w:tab w:val="right" w:leader="dot" w:pos="8306"/>
            </w:tabs>
          </w:pPr>
          <w:r>
            <w:rPr>
              <w:rFonts w:hint="eastAsia" w:asciiTheme="majorEastAsia" w:hAnsiTheme="majorEastAsia" w:eastAsiaTheme="majorEastAsia" w:cstheme="majorEastAsia"/>
              <w:bCs w:val="0"/>
              <w:lang w:val="en-US" w:eastAsia="zh-CN"/>
            </w:rPr>
            <w:fldChar w:fldCharType="begin"/>
          </w:r>
          <w:r>
            <w:rPr>
              <w:rFonts w:hint="eastAsia" w:asciiTheme="majorEastAsia" w:hAnsiTheme="majorEastAsia" w:eastAsiaTheme="majorEastAsia" w:cstheme="majorEastAsia"/>
              <w:bCs w:val="0"/>
              <w:lang w:val="en-US" w:eastAsia="zh-CN"/>
            </w:rPr>
            <w:instrText xml:space="preserve"> HYPERLINK \l _Toc104 </w:instrText>
          </w:r>
          <w:r>
            <w:rPr>
              <w:rFonts w:hint="eastAsia" w:asciiTheme="majorEastAsia" w:hAnsiTheme="majorEastAsia" w:eastAsiaTheme="majorEastAsia" w:cstheme="majorEastAsia"/>
              <w:bCs w:val="0"/>
              <w:lang w:val="en-US" w:eastAsia="zh-CN"/>
            </w:rPr>
            <w:fldChar w:fldCharType="separate"/>
          </w:r>
          <w:r>
            <w:rPr>
              <w:rFonts w:hint="eastAsia"/>
              <w:lang w:val="en-US" w:eastAsia="zh-CN"/>
            </w:rPr>
            <w:t>第九章  历史文化保护</w:t>
          </w:r>
          <w:r>
            <w:tab/>
          </w:r>
          <w:r>
            <w:fldChar w:fldCharType="begin"/>
          </w:r>
          <w:r>
            <w:instrText xml:space="preserve"> PAGEREF _Toc104 \h </w:instrText>
          </w:r>
          <w:r>
            <w:fldChar w:fldCharType="separate"/>
          </w:r>
          <w:r>
            <w:t>21</w:t>
          </w:r>
          <w:r>
            <w:fldChar w:fldCharType="end"/>
          </w:r>
          <w:r>
            <w:rPr>
              <w:rFonts w:hint="eastAsia" w:asciiTheme="majorEastAsia" w:hAnsiTheme="majorEastAsia" w:eastAsiaTheme="majorEastAsia" w:cstheme="majorEastAsia"/>
              <w:bCs w:val="0"/>
              <w:lang w:val="en-US" w:eastAsia="zh-CN"/>
            </w:rPr>
            <w:fldChar w:fldCharType="end"/>
          </w:r>
        </w:p>
        <w:p w14:paraId="5F12F8E9">
          <w:pPr>
            <w:keepNext w:val="0"/>
            <w:keepLines w:val="0"/>
            <w:pageBreakBefore w:val="0"/>
            <w:widowControl w:val="0"/>
            <w:numPr>
              <w:ilvl w:val="0"/>
              <w:numId w:val="0"/>
            </w:numPr>
            <w:tabs>
              <w:tab w:val="left" w:pos="2325"/>
            </w:tabs>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1"/>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b w:val="0"/>
              <w:bCs w:val="0"/>
              <w:lang w:val="en-US" w:eastAsia="zh-CN"/>
            </w:rPr>
            <w:fldChar w:fldCharType="end"/>
          </w:r>
        </w:p>
      </w:sdtContent>
    </w:sdt>
    <w:p w14:paraId="42A0CFE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lang w:val="en-US" w:eastAsia="zh-CN"/>
        </w:rPr>
      </w:pPr>
    </w:p>
    <w:p w14:paraId="6344DAD9">
      <w:pPr>
        <w:numPr>
          <w:ilvl w:val="0"/>
          <w:numId w:val="0"/>
        </w:numPr>
        <w:rPr>
          <w:rFonts w:hint="default"/>
          <w:lang w:val="en-US" w:eastAsia="zh-CN"/>
        </w:rPr>
      </w:pPr>
    </w:p>
    <w:p w14:paraId="5E6FBF8A">
      <w:pPr>
        <w:numPr>
          <w:ilvl w:val="0"/>
          <w:numId w:val="0"/>
        </w:numPr>
        <w:rPr>
          <w:rFonts w:hint="default"/>
          <w:lang w:val="en-US" w:eastAsia="zh-CN"/>
        </w:rPr>
      </w:pPr>
    </w:p>
    <w:p w14:paraId="2EC31925">
      <w:pPr>
        <w:numPr>
          <w:ilvl w:val="0"/>
          <w:numId w:val="0"/>
        </w:numPr>
        <w:rPr>
          <w:rFonts w:hint="default"/>
          <w:lang w:val="en-US" w:eastAsia="zh-CN"/>
        </w:rPr>
      </w:pPr>
    </w:p>
    <w:p w14:paraId="44E6AA36">
      <w:pPr>
        <w:numPr>
          <w:ilvl w:val="0"/>
          <w:numId w:val="0"/>
        </w:numPr>
        <w:rPr>
          <w:rFonts w:hint="default"/>
          <w:lang w:val="en-US" w:eastAsia="zh-CN"/>
        </w:rPr>
      </w:pPr>
    </w:p>
    <w:p w14:paraId="0CAEF5B9">
      <w:pPr>
        <w:numPr>
          <w:ilvl w:val="0"/>
          <w:numId w:val="0"/>
        </w:numPr>
        <w:rPr>
          <w:rFonts w:hint="default"/>
          <w:lang w:val="en-US" w:eastAsia="zh-CN"/>
        </w:rPr>
      </w:pPr>
    </w:p>
    <w:p w14:paraId="5DB21EAF">
      <w:pPr>
        <w:pStyle w:val="12"/>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outlineLvl w:val="0"/>
        <w:rPr>
          <w:rFonts w:hint="eastAsia" w:ascii="黑体" w:hAnsi="黑体" w:eastAsia="黑体" w:cs="黑体"/>
          <w:sz w:val="32"/>
          <w:szCs w:val="3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16" w:name="_Toc20100"/>
      <w:bookmarkStart w:id="17" w:name="_Toc11077"/>
      <w:bookmarkStart w:id="18" w:name="_Toc518"/>
      <w:bookmarkStart w:id="19" w:name="OLE_LINK4"/>
    </w:p>
    <w:p w14:paraId="7DFF22C9">
      <w:pPr>
        <w:pStyle w:val="12"/>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前 言</w:t>
      </w:r>
      <w:bookmarkEnd w:id="16"/>
      <w:bookmarkEnd w:id="17"/>
      <w:bookmarkEnd w:id="18"/>
    </w:p>
    <w:p w14:paraId="4F8A335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0"/>
          <w:szCs w:val="22"/>
          <w:lang w:val="en-US" w:eastAsia="zh-CN"/>
        </w:rPr>
      </w:pPr>
      <w:bookmarkStart w:id="20" w:name="OLE_LINK35"/>
      <w:r>
        <w:rPr>
          <w:rFonts w:hint="eastAsia" w:cs="方正仿宋简体"/>
          <w:color w:val="auto"/>
          <w:kern w:val="2"/>
          <w:sz w:val="28"/>
          <w:szCs w:val="28"/>
          <w:highlight w:val="none"/>
          <w:lang w:val="en-US" w:eastAsia="zh-CN" w:bidi="ar-SA"/>
        </w:rPr>
        <w:t>本规划根据《国家新型城镇化规划（2021—2035年）》《中共中央办公厅 国务院办公厅关于推进以县城为重要载体的城镇化建设的意见》、《深入实施以人为本的新型城镇化战略五年行动计划》、《山西省2025年推进以县城为重要载体的新型城镇化建设工作要点》 、</w:t>
      </w:r>
      <w:bookmarkStart w:id="21" w:name="OLE_LINK192"/>
      <w:r>
        <w:rPr>
          <w:rFonts w:hint="eastAsia" w:cs="方正仿宋简体"/>
          <w:color w:val="auto"/>
          <w:kern w:val="2"/>
          <w:sz w:val="28"/>
          <w:szCs w:val="28"/>
          <w:highlight w:val="none"/>
          <w:lang w:val="en-US" w:eastAsia="zh-CN" w:bidi="ar-SA"/>
        </w:rPr>
        <w:t>《山西省住房和城乡建设厅 山西省发展和改革委员会 关于开展推进以县城为重要载体的新型城镇化建设规划编制工作的通知》</w:t>
      </w:r>
      <w:bookmarkEnd w:id="21"/>
      <w:r>
        <w:rPr>
          <w:rFonts w:hint="eastAsia" w:cs="方正仿宋简体"/>
          <w:color w:val="auto"/>
          <w:kern w:val="2"/>
          <w:sz w:val="28"/>
          <w:szCs w:val="28"/>
          <w:highlight w:val="none"/>
          <w:lang w:val="en-US" w:eastAsia="zh-CN" w:bidi="ar-SA"/>
        </w:rPr>
        <w:t>、《侯马市国土空间总体规划（2021—2035年）》等文件及规划编制，紧紧围绕深入实施以人为本的新型城镇化战略和提升侯马市新型城镇化质量，明确今后新型城镇化发展目标、重点任务、空间布局，提出体制机制改革的主要方向和关键举措，重点着眼未来3年城镇化发展项目，展望“十五五”时期建设发展需求。</w:t>
      </w:r>
      <w:bookmarkEnd w:id="20"/>
      <w:r>
        <w:rPr>
          <w:rFonts w:hint="eastAsia" w:cs="方正仿宋简体"/>
          <w:color w:val="auto"/>
          <w:kern w:val="2"/>
          <w:sz w:val="28"/>
          <w:szCs w:val="28"/>
          <w:highlight w:val="none"/>
          <w:lang w:val="en-US" w:eastAsia="zh-CN" w:bidi="ar-SA"/>
        </w:rPr>
        <w:t>本规划是指导侯马市新型城镇化发展的基础性、宏观性、战略性文件。</w:t>
      </w:r>
    </w:p>
    <w:bookmarkEnd w:id="19"/>
    <w:p w14:paraId="4AF3C7CC">
      <w:pPr>
        <w:pStyle w:val="2"/>
        <w:pageBreakBefore w:val="0"/>
        <w:widowControl w:val="0"/>
        <w:kinsoku/>
        <w:wordWrap/>
        <w:overflowPunct/>
        <w:topLinePunct w:val="0"/>
        <w:autoSpaceDE/>
        <w:autoSpaceDN/>
        <w:bidi w:val="0"/>
        <w:adjustRightInd/>
        <w:snapToGrid/>
        <w:spacing w:line="360" w:lineRule="auto"/>
        <w:textAlignment w:val="auto"/>
        <w:rPr>
          <w:rFonts w:hint="eastAsia"/>
          <w:sz w:val="32"/>
          <w:szCs w:val="22"/>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bookmarkStart w:id="22" w:name="_Toc17268"/>
      <w:bookmarkStart w:id="23" w:name="_Toc4602"/>
      <w:bookmarkStart w:id="24" w:name="OLE_LINK3"/>
    </w:p>
    <w:bookmarkEnd w:id="22"/>
    <w:bookmarkEnd w:id="23"/>
    <w:bookmarkEnd w:id="24"/>
    <w:p w14:paraId="797B423D">
      <w:pPr>
        <w:pStyle w:val="2"/>
        <w:bidi w:val="0"/>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sz w:val="32"/>
          <w:szCs w:val="32"/>
          <w:lang w:val="en-US" w:eastAsia="zh-CN"/>
        </w:rPr>
        <w:t xml:space="preserve"> </w:t>
      </w:r>
      <w:bookmarkStart w:id="25" w:name="OLE_LINK10"/>
      <w:bookmarkStart w:id="26" w:name="_Toc13817"/>
      <w:r>
        <w:rPr>
          <w:rFonts w:hint="eastAsia"/>
          <w:lang w:val="en-US" w:eastAsia="zh-CN"/>
        </w:rPr>
        <w:t>第一章  总体要求</w:t>
      </w:r>
      <w:bookmarkEnd w:id="25"/>
      <w:bookmarkEnd w:id="26"/>
    </w:p>
    <w:p w14:paraId="259A7359">
      <w:pPr>
        <w:pStyle w:val="3"/>
        <w:numPr>
          <w:ilvl w:val="0"/>
          <w:numId w:val="0"/>
        </w:numPr>
        <w:bidi w:val="0"/>
        <w:ind w:firstLine="643" w:firstLineChars="200"/>
        <w:rPr>
          <w:rFonts w:hint="eastAsia"/>
          <w:lang w:val="en-US" w:eastAsia="zh-CN"/>
        </w:rPr>
      </w:pPr>
      <w:bookmarkStart w:id="27" w:name="_Toc17482"/>
      <w:r>
        <w:rPr>
          <w:rFonts w:hint="eastAsia"/>
          <w:lang w:val="en-US" w:eastAsia="zh-CN"/>
        </w:rPr>
        <w:t>一、基本原则</w:t>
      </w:r>
      <w:bookmarkEnd w:id="27"/>
    </w:p>
    <w:p w14:paraId="0EBD43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以人为本，共建共享。</w:t>
      </w:r>
    </w:p>
    <w:p w14:paraId="6AA457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改革创新，统筹谋划。</w:t>
      </w:r>
    </w:p>
    <w:p w14:paraId="0CFBD0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生态优先，绿色低碳。</w:t>
      </w:r>
    </w:p>
    <w:p w14:paraId="70F2D0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问题导向，精准发力。</w:t>
      </w:r>
    </w:p>
    <w:p w14:paraId="71875E88">
      <w:pPr>
        <w:pStyle w:val="3"/>
        <w:numPr>
          <w:ilvl w:val="0"/>
          <w:numId w:val="2"/>
        </w:numPr>
        <w:bidi w:val="0"/>
        <w:rPr>
          <w:rFonts w:hint="eastAsia"/>
          <w:color w:val="auto"/>
          <w:lang w:val="en-US" w:eastAsia="zh-CN"/>
        </w:rPr>
      </w:pPr>
      <w:bookmarkStart w:id="28" w:name="_Toc22472"/>
      <w:r>
        <w:rPr>
          <w:rFonts w:hint="eastAsia"/>
          <w:color w:val="auto"/>
          <w:lang w:val="en-US" w:eastAsia="zh-CN"/>
        </w:rPr>
        <w:t>侯马市发展定位</w:t>
      </w:r>
      <w:bookmarkEnd w:id="28"/>
    </w:p>
    <w:p w14:paraId="6E1F24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bookmarkStart w:id="29" w:name="OLE_LINK74"/>
      <w:r>
        <w:rPr>
          <w:rFonts w:hint="eastAsia" w:ascii="Times New Roman" w:hAnsi="Times New Roman" w:eastAsia="仿宋_GB2312" w:cs="Times New Roman"/>
          <w:kern w:val="2"/>
          <w:sz w:val="32"/>
          <w:szCs w:val="32"/>
          <w:lang w:val="en-US" w:eastAsia="zh-CN" w:bidi="ar-SA"/>
        </w:rPr>
        <w:t>立足侯马市“晋国古都・公园城市”定位，</w:t>
      </w:r>
      <w:bookmarkEnd w:id="29"/>
      <w:r>
        <w:rPr>
          <w:rFonts w:hint="eastAsia" w:ascii="Times New Roman" w:hAnsi="Times New Roman" w:eastAsia="仿宋_GB2312" w:cs="Times New Roman"/>
          <w:kern w:val="2"/>
          <w:sz w:val="32"/>
          <w:szCs w:val="32"/>
          <w:lang w:val="en-US" w:eastAsia="zh-CN" w:bidi="ar-SA"/>
        </w:rPr>
        <w:t>推动城市内涵式发展，打造具有历史文化底蕴和生态宜居的城市环境，实现 “生产、生活、生态” 三生融合，促进城乡更宜居。</w:t>
      </w:r>
    </w:p>
    <w:p w14:paraId="3FE3EA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bookmarkStart w:id="30" w:name="OLE_LINK65"/>
      <w:r>
        <w:rPr>
          <w:rFonts w:hint="eastAsia" w:ascii="Times New Roman" w:hAnsi="Times New Roman" w:eastAsia="仿宋_GB2312" w:cs="Times New Roman"/>
          <w:kern w:val="2"/>
          <w:sz w:val="32"/>
          <w:szCs w:val="32"/>
          <w:lang w:val="en-US" w:eastAsia="zh-CN" w:bidi="ar-SA"/>
        </w:rPr>
        <w:t>晋南重要的区域中心城市</w:t>
      </w:r>
      <w:bookmarkEnd w:id="30"/>
      <w:bookmarkStart w:id="31" w:name="OLE_LINK66"/>
      <w:r>
        <w:rPr>
          <w:rFonts w:hint="eastAsia" w:ascii="Times New Roman" w:hAnsi="Times New Roman" w:eastAsia="仿宋_GB2312" w:cs="Times New Roman"/>
          <w:kern w:val="2"/>
          <w:sz w:val="32"/>
          <w:szCs w:val="32"/>
          <w:lang w:val="en-US" w:eastAsia="zh-CN" w:bidi="ar-SA"/>
        </w:rPr>
        <w:t>，山西省重要的陆港枢纽和先进制造基地</w:t>
      </w:r>
      <w:bookmarkEnd w:id="31"/>
      <w:bookmarkStart w:id="32" w:name="OLE_LINK67"/>
      <w:r>
        <w:rPr>
          <w:rFonts w:hint="eastAsia" w:ascii="Times New Roman" w:hAnsi="Times New Roman" w:eastAsia="仿宋_GB2312" w:cs="Times New Roman"/>
          <w:kern w:val="2"/>
          <w:sz w:val="32"/>
          <w:szCs w:val="32"/>
          <w:lang w:val="en-US" w:eastAsia="zh-CN" w:bidi="ar-SA"/>
        </w:rPr>
        <w:t>，以晋文化为特色的山水公园城市</w:t>
      </w:r>
      <w:bookmarkEnd w:id="32"/>
      <w:bookmarkStart w:id="33" w:name="OLE_LINK68"/>
      <w:r>
        <w:rPr>
          <w:rFonts w:hint="eastAsia" w:ascii="Times New Roman" w:hAnsi="Times New Roman" w:eastAsia="仿宋_GB2312" w:cs="Times New Roman"/>
          <w:kern w:val="2"/>
          <w:sz w:val="32"/>
          <w:szCs w:val="32"/>
          <w:lang w:val="en-US" w:eastAsia="zh-CN" w:bidi="ar-SA"/>
        </w:rPr>
        <w:t>，晋南新兴的生态型现代城市。</w:t>
      </w:r>
      <w:bookmarkEnd w:id="33"/>
    </w:p>
    <w:p w14:paraId="76006083">
      <w:pPr>
        <w:pStyle w:val="3"/>
        <w:numPr>
          <w:ilvl w:val="0"/>
          <w:numId w:val="2"/>
        </w:numPr>
        <w:bidi w:val="0"/>
        <w:rPr>
          <w:rFonts w:hint="eastAsia"/>
          <w:color w:val="auto"/>
          <w:lang w:val="en-US" w:eastAsia="zh-CN"/>
        </w:rPr>
      </w:pPr>
      <w:bookmarkStart w:id="34" w:name="OLE_LINK9"/>
      <w:bookmarkStart w:id="35" w:name="_Toc27437"/>
      <w:r>
        <w:rPr>
          <w:rFonts w:hint="eastAsia"/>
          <w:color w:val="auto"/>
          <w:lang w:val="en-US" w:eastAsia="zh-CN"/>
        </w:rPr>
        <w:t>发展目标</w:t>
      </w:r>
      <w:bookmarkEnd w:id="34"/>
      <w:bookmarkEnd w:id="35"/>
      <w:bookmarkStart w:id="36" w:name="OLE_LINK69"/>
    </w:p>
    <w:p w14:paraId="0D70AF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到2030年，城市建设取得明显成效，以县城为重要载体的城镇化建设取得重要进展，县城短板弱项进一步补齐补强，城乡公共资源配置与常住人口规模基本匹配。特色优势产业发展壮大，市政设施基本完备，公共服务全面提升，人居环境有效改善，综合承载能力明显增强，城乡居民生活品质显著提高。</w:t>
      </w:r>
    </w:p>
    <w:bookmarkEnd w:id="36"/>
    <w:p w14:paraId="010A47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bookmarkStart w:id="37" w:name="OLE_LINK70"/>
      <w:r>
        <w:rPr>
          <w:rFonts w:hint="eastAsia" w:ascii="Times New Roman" w:hAnsi="Times New Roman" w:eastAsia="仿宋_GB2312" w:cs="Times New Roman"/>
          <w:kern w:val="2"/>
          <w:sz w:val="32"/>
          <w:szCs w:val="32"/>
          <w:lang w:val="en-US" w:eastAsia="zh-CN" w:bidi="ar-SA"/>
        </w:rPr>
        <w:t>——</w:t>
      </w:r>
      <w:bookmarkStart w:id="38" w:name="OLE_LINK194"/>
      <w:r>
        <w:rPr>
          <w:rFonts w:hint="eastAsia" w:ascii="Times New Roman" w:hAnsi="Times New Roman" w:eastAsia="仿宋_GB2312" w:cs="Times New Roman"/>
          <w:kern w:val="2"/>
          <w:sz w:val="32"/>
          <w:szCs w:val="32"/>
          <w:lang w:val="en-US" w:eastAsia="zh-CN" w:bidi="ar-SA"/>
        </w:rPr>
        <w:t>绿色宜居环境更美。</w:t>
      </w:r>
      <w:bookmarkEnd w:id="37"/>
      <w:bookmarkEnd w:id="38"/>
      <w:bookmarkStart w:id="39" w:name="OLE_LINK71"/>
    </w:p>
    <w:p w14:paraId="408CBD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bookmarkStart w:id="40" w:name="OLE_LINK195"/>
      <w:r>
        <w:rPr>
          <w:rFonts w:hint="eastAsia" w:ascii="Times New Roman" w:hAnsi="Times New Roman" w:eastAsia="仿宋_GB2312" w:cs="Times New Roman"/>
          <w:kern w:val="2"/>
          <w:sz w:val="32"/>
          <w:szCs w:val="32"/>
          <w:lang w:val="en-US" w:eastAsia="zh-CN" w:bidi="ar-SA"/>
        </w:rPr>
        <w:t>市政基础设施全面完善。</w:t>
      </w:r>
      <w:bookmarkEnd w:id="39"/>
      <w:bookmarkEnd w:id="40"/>
      <w:bookmarkStart w:id="41" w:name="OLE_LINK72"/>
    </w:p>
    <w:p w14:paraId="29A216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bookmarkStart w:id="42" w:name="OLE_LINK196"/>
      <w:r>
        <w:rPr>
          <w:rFonts w:hint="eastAsia" w:ascii="Times New Roman" w:hAnsi="Times New Roman" w:eastAsia="仿宋_GB2312" w:cs="Times New Roman"/>
          <w:kern w:val="2"/>
          <w:sz w:val="32"/>
          <w:szCs w:val="32"/>
          <w:lang w:val="en-US" w:eastAsia="zh-CN" w:bidi="ar-SA"/>
        </w:rPr>
        <w:t>基本公共服务均衡化供给能力和质量全面提升。</w:t>
      </w:r>
      <w:bookmarkEnd w:id="41"/>
      <w:bookmarkEnd w:id="42"/>
      <w:bookmarkStart w:id="43" w:name="OLE_LINK25"/>
      <w:bookmarkStart w:id="44" w:name="OLE_LINK73"/>
    </w:p>
    <w:p w14:paraId="194072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bookmarkEnd w:id="43"/>
      <w:bookmarkStart w:id="45" w:name="OLE_LINK197"/>
      <w:r>
        <w:rPr>
          <w:rFonts w:hint="eastAsia" w:ascii="Times New Roman" w:hAnsi="Times New Roman" w:eastAsia="仿宋_GB2312" w:cs="Times New Roman"/>
          <w:kern w:val="2"/>
          <w:sz w:val="32"/>
          <w:szCs w:val="32"/>
          <w:lang w:val="en-US" w:eastAsia="zh-CN" w:bidi="ar-SA"/>
        </w:rPr>
        <w:t>现代产业体系更优。</w:t>
      </w:r>
      <w:bookmarkEnd w:id="44"/>
    </w:p>
    <w:p w14:paraId="538B4C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城乡统筹</w:t>
      </w:r>
      <w:r>
        <w:rPr>
          <w:rFonts w:hint="eastAsia" w:ascii="Times New Roman" w:hAnsi="Times New Roman" w:eastAsia="仿宋_GB2312" w:cs="Times New Roman"/>
          <w:kern w:val="2"/>
          <w:sz w:val="32"/>
          <w:szCs w:val="32"/>
          <w:lang w:val="en-US" w:eastAsia="zh-CN" w:bidi="ar-SA"/>
        </w:rPr>
        <w:t>协调发展。</w:t>
      </w:r>
    </w:p>
    <w:bookmarkEnd w:id="45"/>
    <w:p w14:paraId="346A41E8">
      <w:pPr>
        <w:rPr>
          <w:rFonts w:hint="eastAsia"/>
          <w:lang w:val="en-US" w:eastAsia="zh-CN"/>
        </w:rPr>
      </w:pPr>
    </w:p>
    <w:p w14:paraId="08376F29">
      <w:pPr>
        <w:rPr>
          <w:rFonts w:hint="eastAsia"/>
          <w:lang w:val="en-US" w:eastAsia="zh-CN"/>
        </w:rPr>
      </w:pPr>
    </w:p>
    <w:p w14:paraId="621F8450">
      <w:pPr>
        <w:pStyle w:val="2"/>
        <w:bidi w:val="0"/>
        <w:jc w:val="center"/>
        <w:rPr>
          <w:rFonts w:hint="default"/>
          <w:lang w:val="en-US" w:eastAsia="zh-CN"/>
        </w:rPr>
      </w:pPr>
      <w:bookmarkStart w:id="46" w:name="_Toc27603"/>
      <w:bookmarkStart w:id="47" w:name="OLE_LINK14"/>
      <w:r>
        <w:rPr>
          <w:rFonts w:hint="eastAsia"/>
          <w:lang w:val="en-US" w:eastAsia="zh-CN"/>
        </w:rPr>
        <w:t>第二章  优化城镇空间发展格局</w:t>
      </w:r>
      <w:bookmarkEnd w:id="46"/>
    </w:p>
    <w:bookmarkEnd w:id="47"/>
    <w:p w14:paraId="7A6E207E">
      <w:pPr>
        <w:pStyle w:val="3"/>
        <w:bidi w:val="0"/>
        <w:rPr>
          <w:rFonts w:hint="default"/>
          <w:lang w:val="en-US" w:eastAsia="zh-CN"/>
        </w:rPr>
      </w:pPr>
      <w:bookmarkStart w:id="48" w:name="_Toc3090"/>
      <w:bookmarkStart w:id="49" w:name="OLE_LINK12"/>
      <w:r>
        <w:rPr>
          <w:rFonts w:hint="eastAsia"/>
          <w:lang w:val="en-US" w:eastAsia="zh-CN"/>
        </w:rPr>
        <w:t>一、构建多层次的城镇体系</w:t>
      </w:r>
      <w:bookmarkEnd w:id="48"/>
    </w:p>
    <w:bookmarkEnd w:id="49"/>
    <w:p w14:paraId="1FDE2B44">
      <w:pPr>
        <w:keepNext w:val="0"/>
        <w:keepLines w:val="0"/>
        <w:pageBreakBefore w:val="0"/>
        <w:widowControl w:val="0"/>
        <w:tabs>
          <w:tab w:val="left" w:pos="3057"/>
        </w:tabs>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顺应城镇人口和产业经济发展的客观规律，强化“城区”集聚带动作用，推动形成</w:t>
      </w:r>
      <w:bookmarkStart w:id="50" w:name="OLE_LINK21"/>
      <w:bookmarkStart w:id="51" w:name="OLE_LINK22"/>
      <w:r>
        <w:rPr>
          <w:rFonts w:hint="default" w:ascii="Times New Roman" w:hAnsi="Times New Roman" w:eastAsia="仿宋_GB2312" w:cs="Times New Roman"/>
          <w:kern w:val="2"/>
          <w:sz w:val="32"/>
          <w:szCs w:val="32"/>
          <w:lang w:val="en-US" w:eastAsia="zh-CN" w:bidi="ar-SA"/>
        </w:rPr>
        <w:t>规划“一核双轴四组团”的城镇空间结构。</w:t>
      </w:r>
      <w:bookmarkEnd w:id="50"/>
    </w:p>
    <w:bookmarkEnd w:id="51"/>
    <w:p w14:paraId="031F9CE6">
      <w:pPr>
        <w:pStyle w:val="3"/>
        <w:bidi w:val="0"/>
        <w:rPr>
          <w:rFonts w:hint="default"/>
          <w:lang w:val="en-US" w:eastAsia="zh-CN"/>
        </w:rPr>
      </w:pPr>
      <w:bookmarkStart w:id="52" w:name="_Toc3249"/>
      <w:bookmarkStart w:id="53" w:name="OLE_LINK13"/>
      <w:r>
        <w:rPr>
          <w:rFonts w:hint="eastAsia"/>
          <w:lang w:val="en-US" w:eastAsia="zh-CN"/>
        </w:rPr>
        <w:t>二、推进以县城为核心的城镇化建设</w:t>
      </w:r>
      <w:bookmarkEnd w:id="52"/>
    </w:p>
    <w:bookmarkEnd w:id="53"/>
    <w:p w14:paraId="398DDF55">
      <w:pPr>
        <w:keepNext w:val="0"/>
        <w:keepLines w:val="0"/>
        <w:pageBreakBefore w:val="0"/>
        <w:widowControl w:val="0"/>
        <w:tabs>
          <w:tab w:val="left" w:pos="3057"/>
        </w:tabs>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突出中心城区的核心带动作用，以产城融合发展为主线，加强中心城区综合服务功能，完善公共服务和市政基础设施，提升中心城区首位度和县城综合承载力。通过扩大核心区规模、拓展核心区功能，强化中心城区与周边乡、园区产业协作，重点打造“一核多点，两轴四片区”的魅力空间体系。</w:t>
      </w:r>
    </w:p>
    <w:p w14:paraId="3A3B396D">
      <w:pPr>
        <w:pStyle w:val="3"/>
        <w:bidi w:val="0"/>
        <w:rPr>
          <w:rFonts w:hint="default"/>
          <w:lang w:val="en-US" w:eastAsia="zh-CN"/>
        </w:rPr>
      </w:pPr>
      <w:bookmarkStart w:id="54" w:name="_Toc20208"/>
      <w:r>
        <w:rPr>
          <w:rFonts w:hint="eastAsia"/>
          <w:lang w:val="en-US" w:eastAsia="zh-CN"/>
        </w:rPr>
        <w:t>三、城乡居民点体系和职能结构</w:t>
      </w:r>
      <w:bookmarkEnd w:id="54"/>
    </w:p>
    <w:p w14:paraId="2F0BE35A">
      <w:pPr>
        <w:keepNext w:val="0"/>
        <w:keepLines w:val="0"/>
        <w:pageBreakBefore w:val="0"/>
        <w:widowControl w:val="0"/>
        <w:tabs>
          <w:tab w:val="left" w:pos="3057"/>
        </w:tabs>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围绕“一核两轴四组团”的城镇空间布局，突出中心城区建设，推动城乡间协调联动发展。以产城融合发展为关键，通过产业发展带动各乡（街道）经济社会发展进一步紧密相联，持续优化全市城乡布局与人口分布，加快城市化进程，强化教育、医疗等基本公共服务设施供应水平，构建城乡一体化发展的现代化城市。以经济开发区、产业片区为重点，加快优势产业和新兴技术产业的融合发展，以物流服务、乡村旅游为切入点推动城乡发展，以经济建设带动城乡建设。</w:t>
      </w:r>
    </w:p>
    <w:p w14:paraId="22A67439">
      <w:pPr>
        <w:keepNext w:val="0"/>
        <w:keepLines w:val="0"/>
        <w:pageBreakBefore w:val="0"/>
        <w:widowControl w:val="0"/>
        <w:tabs>
          <w:tab w:val="left" w:pos="3057"/>
        </w:tabs>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规划确定“中心城区－乡（街道）－村庄”三级城乡居民点体系。包括中心城区着力提升综合服务功能，推进蓝绿交织、组团精致、布局疏朗的城区空间，4 个乡（街道）分别为张村街道、上马街道、高村乡、凤城乡，加强与城区、乡、街道的联系，强化产业发展和综合服务，引导农民向城镇适度集中居住，培育发展特色，打造差异化特色乡镇；68 个行政村重点完善一般基础设施与公共服务设施，满足农民基本公共服务。</w:t>
      </w:r>
    </w:p>
    <w:p w14:paraId="499042EF">
      <w:pPr>
        <w:pStyle w:val="2"/>
        <w:bidi w:val="0"/>
        <w:rPr>
          <w:rFonts w:hint="eastAsia" w:ascii="Times New Roman" w:hAnsi="Times New Roman" w:eastAsia="仿宋_GB2312" w:cs="Times New Roman"/>
          <w:color w:val="auto"/>
          <w:kern w:val="2"/>
          <w:sz w:val="32"/>
          <w:szCs w:val="32"/>
          <w:lang w:val="en-US" w:eastAsia="zh-CN" w:bidi="ar-SA"/>
        </w:rPr>
      </w:pPr>
      <w:bookmarkStart w:id="55" w:name="OLE_LINK90"/>
      <w:r>
        <w:rPr>
          <w:rFonts w:hint="eastAsia" w:ascii="Times New Roman" w:hAnsi="Times New Roman" w:eastAsia="仿宋_GB2312" w:cs="Times New Roman"/>
          <w:color w:val="auto"/>
          <w:kern w:val="2"/>
          <w:sz w:val="32"/>
          <w:szCs w:val="32"/>
          <w:lang w:val="en-US" w:eastAsia="zh-CN" w:bidi="ar-SA"/>
        </w:rPr>
        <w:t xml:space="preserve"> </w:t>
      </w:r>
      <w:bookmarkEnd w:id="55"/>
    </w:p>
    <w:p w14:paraId="65863119">
      <w:pPr>
        <w:pStyle w:val="2"/>
        <w:bidi w:val="0"/>
        <w:rPr>
          <w:rFonts w:hint="default"/>
          <w:lang w:val="en-US" w:eastAsia="zh-CN"/>
        </w:rPr>
      </w:pPr>
      <w:r>
        <w:rPr>
          <w:rFonts w:hint="eastAsia" w:ascii="Times New Roman" w:hAnsi="Times New Roman" w:eastAsia="仿宋_GB2312" w:cs="Times New Roman"/>
          <w:kern w:val="2"/>
          <w:sz w:val="32"/>
          <w:szCs w:val="32"/>
          <w:lang w:val="en-US" w:eastAsia="zh-CN" w:bidi="ar-SA"/>
        </w:rPr>
        <w:tab/>
      </w:r>
      <w:bookmarkStart w:id="56" w:name="_Toc17233"/>
      <w:bookmarkStart w:id="57" w:name="OLE_LINK15"/>
      <w:r>
        <w:rPr>
          <w:rFonts w:hint="eastAsia"/>
          <w:lang w:val="en-US" w:eastAsia="zh-CN"/>
        </w:rPr>
        <w:t xml:space="preserve">第三章  </w:t>
      </w:r>
      <w:bookmarkStart w:id="58" w:name="OLE_LINK91"/>
      <w:r>
        <w:rPr>
          <w:rFonts w:hint="eastAsia"/>
          <w:lang w:val="en-US" w:eastAsia="zh-CN"/>
        </w:rPr>
        <w:t>推进农业转移人口市民化进程</w:t>
      </w:r>
      <w:bookmarkEnd w:id="56"/>
      <w:bookmarkEnd w:id="57"/>
      <w:bookmarkEnd w:id="58"/>
    </w:p>
    <w:p w14:paraId="539D8E97">
      <w:pPr>
        <w:keepNext w:val="0"/>
        <w:keepLines w:val="0"/>
        <w:pageBreakBefore w:val="0"/>
        <w:widowControl w:val="0"/>
        <w:tabs>
          <w:tab w:val="left" w:pos="3057"/>
        </w:tabs>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坚持以人为核心，持续推进户籍制度改革，加快城镇基本公共服务均等化，增强农业转移人口融入县城能力，推动农业转移人口全面融入城市。</w:t>
      </w:r>
    </w:p>
    <w:p w14:paraId="28EA1A79">
      <w:pPr>
        <w:pStyle w:val="3"/>
        <w:numPr>
          <w:ilvl w:val="0"/>
          <w:numId w:val="3"/>
        </w:numPr>
        <w:bidi w:val="0"/>
        <w:rPr>
          <w:rFonts w:hint="default"/>
          <w:lang w:val="en-US" w:eastAsia="zh-CN"/>
        </w:rPr>
      </w:pPr>
      <w:bookmarkStart w:id="59" w:name="_Toc24192"/>
      <w:bookmarkStart w:id="60" w:name="OLE_LINK92"/>
      <w:r>
        <w:rPr>
          <w:rFonts w:hint="default"/>
          <w:lang w:val="en-US" w:eastAsia="zh-CN"/>
        </w:rPr>
        <w:t>完善人口市民化保障机制</w:t>
      </w:r>
      <w:bookmarkEnd w:id="59"/>
    </w:p>
    <w:bookmarkEnd w:id="60"/>
    <w:p w14:paraId="208786FF">
      <w:pPr>
        <w:keepNext w:val="0"/>
        <w:keepLines w:val="0"/>
        <w:pageBreakBefore w:val="0"/>
        <w:widowControl w:val="0"/>
        <w:tabs>
          <w:tab w:val="left" w:pos="3057"/>
        </w:tabs>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bookmarkStart w:id="61" w:name="OLE_LINK96"/>
      <w:r>
        <w:rPr>
          <w:rFonts w:hint="default" w:ascii="Times New Roman" w:hAnsi="Times New Roman" w:eastAsia="仿宋_GB2312" w:cs="Times New Roman"/>
          <w:kern w:val="2"/>
          <w:sz w:val="32"/>
          <w:szCs w:val="32"/>
          <w:lang w:val="en-US" w:eastAsia="zh-CN" w:bidi="ar-SA"/>
        </w:rPr>
        <w:t>健全完善城镇建设用地增加规模同农业转移人口市民化挂钩机制，</w:t>
      </w:r>
      <w:bookmarkEnd w:id="61"/>
      <w:bookmarkStart w:id="62" w:name="OLE_LINK97"/>
      <w:r>
        <w:rPr>
          <w:rFonts w:hint="default" w:ascii="Times New Roman" w:hAnsi="Times New Roman" w:eastAsia="仿宋_GB2312" w:cs="Times New Roman"/>
          <w:kern w:val="2"/>
          <w:sz w:val="32"/>
          <w:szCs w:val="32"/>
          <w:lang w:val="en-US" w:eastAsia="zh-CN" w:bidi="ar-SA"/>
        </w:rPr>
        <w:t>保障农业转移人口在流入地更好地享受基本公共服务，促进土地城镇化和人口城镇化相协调。</w:t>
      </w:r>
      <w:bookmarkEnd w:id="62"/>
      <w:r>
        <w:rPr>
          <w:rFonts w:hint="default" w:ascii="Times New Roman" w:hAnsi="Times New Roman" w:eastAsia="仿宋_GB2312" w:cs="Times New Roman"/>
          <w:kern w:val="2"/>
          <w:sz w:val="32"/>
          <w:szCs w:val="32"/>
          <w:lang w:val="en-US" w:eastAsia="zh-CN" w:bidi="ar-SA"/>
        </w:rPr>
        <w:t>科学测算农业转移人口市民化成本，建立健全政府、企业、个人共同参与的成本分担机制。</w:t>
      </w:r>
    </w:p>
    <w:p w14:paraId="2555226B">
      <w:pPr>
        <w:pStyle w:val="3"/>
        <w:numPr>
          <w:ilvl w:val="0"/>
          <w:numId w:val="3"/>
        </w:numPr>
        <w:bidi w:val="0"/>
        <w:rPr>
          <w:rFonts w:hint="default"/>
          <w:lang w:val="en-US" w:eastAsia="zh-CN"/>
        </w:rPr>
      </w:pPr>
      <w:bookmarkStart w:id="63" w:name="_Toc26344"/>
      <w:bookmarkStart w:id="64" w:name="OLE_LINK93"/>
      <w:bookmarkStart w:id="65" w:name="OLE_LINK16"/>
      <w:r>
        <w:rPr>
          <w:rFonts w:hint="eastAsia"/>
          <w:lang w:val="en-US" w:eastAsia="zh-CN"/>
        </w:rPr>
        <w:t>进一步深化户籍制度改革</w:t>
      </w:r>
      <w:bookmarkEnd w:id="63"/>
    </w:p>
    <w:bookmarkEnd w:id="64"/>
    <w:p w14:paraId="7F73D04C">
      <w:pPr>
        <w:keepNext w:val="0"/>
        <w:keepLines w:val="0"/>
        <w:pageBreakBefore w:val="0"/>
        <w:widowControl w:val="0"/>
        <w:tabs>
          <w:tab w:val="left" w:pos="3057"/>
        </w:tabs>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深化户籍制度改革。</w:t>
      </w:r>
      <w:bookmarkStart w:id="66" w:name="OLE_LINK98"/>
      <w:r>
        <w:rPr>
          <w:rFonts w:hint="eastAsia" w:ascii="Times New Roman" w:hAnsi="Times New Roman" w:eastAsia="仿宋_GB2312" w:cs="Times New Roman"/>
          <w:kern w:val="2"/>
          <w:sz w:val="32"/>
          <w:szCs w:val="32"/>
          <w:lang w:val="en-US" w:eastAsia="zh-CN" w:bidi="ar-SA"/>
        </w:rPr>
        <w:t>全面落实城市零门槛落户政策，</w:t>
      </w:r>
      <w:bookmarkStart w:id="67" w:name="OLE_LINK199"/>
      <w:r>
        <w:rPr>
          <w:rFonts w:hint="eastAsia" w:ascii="Times New Roman" w:hAnsi="Times New Roman" w:eastAsia="仿宋_GB2312" w:cs="Times New Roman"/>
          <w:kern w:val="2"/>
          <w:sz w:val="32"/>
          <w:szCs w:val="32"/>
          <w:lang w:val="en-US" w:eastAsia="zh-CN" w:bidi="ar-SA"/>
        </w:rPr>
        <w:t>简</w:t>
      </w:r>
    </w:p>
    <w:p w14:paraId="3A87EBF9">
      <w:pPr>
        <w:keepNext w:val="0"/>
        <w:keepLines w:val="0"/>
        <w:pageBreakBefore w:val="0"/>
        <w:widowControl w:val="0"/>
        <w:tabs>
          <w:tab w:val="left" w:pos="3057"/>
        </w:tabs>
        <w:kinsoku/>
        <w:wordWrap/>
        <w:overflowPunct/>
        <w:topLinePunct w:val="0"/>
        <w:autoSpaceDE/>
        <w:autoSpaceDN/>
        <w:bidi w:val="0"/>
        <w:adjustRightInd/>
        <w:snapToGrid/>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化户籍迁移手续，积极鼓励农民工、毕业生、退役军人等各</w:t>
      </w:r>
    </w:p>
    <w:p w14:paraId="4B214BE9">
      <w:pPr>
        <w:keepNext w:val="0"/>
        <w:keepLines w:val="0"/>
        <w:pageBreakBefore w:val="0"/>
        <w:widowControl w:val="0"/>
        <w:tabs>
          <w:tab w:val="left" w:pos="3057"/>
        </w:tabs>
        <w:kinsoku/>
        <w:wordWrap/>
        <w:overflowPunct/>
        <w:topLinePunct w:val="0"/>
        <w:autoSpaceDE/>
        <w:autoSpaceDN/>
        <w:bidi w:val="0"/>
        <w:adjustRightInd/>
        <w:snapToGrid/>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类人员在城市落户，</w:t>
      </w:r>
      <w:bookmarkEnd w:id="67"/>
      <w:r>
        <w:rPr>
          <w:rFonts w:hint="eastAsia" w:ascii="Times New Roman" w:hAnsi="Times New Roman" w:eastAsia="仿宋_GB2312" w:cs="Times New Roman"/>
          <w:kern w:val="2"/>
          <w:sz w:val="32"/>
          <w:szCs w:val="32"/>
          <w:lang w:val="en-US" w:eastAsia="zh-CN" w:bidi="ar-SA"/>
        </w:rPr>
        <w:t>实现城市人口服务管理由户籍人口为主</w:t>
      </w:r>
    </w:p>
    <w:p w14:paraId="2674190A">
      <w:pPr>
        <w:keepNext w:val="0"/>
        <w:keepLines w:val="0"/>
        <w:pageBreakBefore w:val="0"/>
        <w:widowControl w:val="0"/>
        <w:tabs>
          <w:tab w:val="left" w:pos="3057"/>
        </w:tabs>
        <w:kinsoku/>
        <w:wordWrap/>
        <w:overflowPunct/>
        <w:topLinePunct w:val="0"/>
        <w:autoSpaceDE/>
        <w:autoSpaceDN/>
        <w:bidi w:val="0"/>
        <w:adjustRightInd/>
        <w:snapToGrid/>
        <w:textAlignment w:val="auto"/>
        <w:rPr>
          <w:rFonts w:hint="eastAsia"/>
          <w:lang w:val="en-US" w:eastAsia="zh-CN"/>
        </w:rPr>
      </w:pPr>
      <w:r>
        <w:rPr>
          <w:rFonts w:hint="eastAsia" w:ascii="Times New Roman" w:hAnsi="Times New Roman" w:eastAsia="仿宋_GB2312" w:cs="Times New Roman"/>
          <w:kern w:val="2"/>
          <w:sz w:val="32"/>
          <w:szCs w:val="32"/>
          <w:lang w:val="en-US" w:eastAsia="zh-CN" w:bidi="ar-SA"/>
        </w:rPr>
        <w:t>向常住人口转变。</w:t>
      </w:r>
    </w:p>
    <w:bookmarkEnd w:id="66"/>
    <w:p w14:paraId="5359B9C2">
      <w:pPr>
        <w:pStyle w:val="3"/>
        <w:numPr>
          <w:ilvl w:val="0"/>
          <w:numId w:val="3"/>
        </w:numPr>
        <w:bidi w:val="0"/>
        <w:rPr>
          <w:rFonts w:hint="default"/>
          <w:lang w:val="en-US" w:eastAsia="zh-CN"/>
        </w:rPr>
      </w:pPr>
      <w:bookmarkStart w:id="68" w:name="_Toc14086"/>
      <w:bookmarkStart w:id="69" w:name="OLE_LINK94"/>
      <w:r>
        <w:rPr>
          <w:rFonts w:hint="eastAsia"/>
          <w:lang w:val="en-US" w:eastAsia="zh-CN"/>
        </w:rPr>
        <w:t>加快城镇基本公共服务均等化</w:t>
      </w:r>
      <w:bookmarkEnd w:id="68"/>
    </w:p>
    <w:bookmarkEnd w:id="65"/>
    <w:bookmarkEnd w:id="69"/>
    <w:p w14:paraId="020947F7">
      <w:pPr>
        <w:keepNext w:val="0"/>
        <w:keepLines w:val="0"/>
        <w:pageBreakBefore w:val="0"/>
        <w:widowControl w:val="0"/>
        <w:tabs>
          <w:tab w:val="left" w:pos="3057"/>
        </w:tabs>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bookmarkStart w:id="70" w:name="OLE_LINK99"/>
      <w:bookmarkStart w:id="71" w:name="OLE_LINK100"/>
      <w:r>
        <w:rPr>
          <w:rFonts w:hint="eastAsia" w:ascii="Times New Roman" w:hAnsi="Times New Roman" w:eastAsia="仿宋_GB2312" w:cs="Times New Roman"/>
          <w:kern w:val="2"/>
          <w:sz w:val="32"/>
          <w:szCs w:val="32"/>
          <w:lang w:val="en-US" w:eastAsia="zh-CN" w:bidi="ar-SA"/>
        </w:rPr>
        <w:t>确保城镇常住人口随迁子女平等享有教育、医疗等权利</w:t>
      </w:r>
      <w:bookmarkEnd w:id="70"/>
      <w:r>
        <w:rPr>
          <w:rFonts w:hint="eastAsia" w:ascii="Times New Roman" w:hAnsi="Times New Roman" w:eastAsia="仿宋_GB2312" w:cs="Times New Roman"/>
          <w:kern w:val="2"/>
          <w:sz w:val="32"/>
          <w:szCs w:val="32"/>
          <w:lang w:val="en-US" w:eastAsia="zh-CN" w:bidi="ar-SA"/>
        </w:rPr>
        <w:t>。</w:t>
      </w:r>
      <w:bookmarkEnd w:id="71"/>
      <w:r>
        <w:rPr>
          <w:rFonts w:hint="eastAsia" w:ascii="Times New Roman" w:hAnsi="Times New Roman" w:eastAsia="仿宋_GB2312" w:cs="Times New Roman"/>
          <w:kern w:val="2"/>
          <w:sz w:val="32"/>
          <w:szCs w:val="32"/>
          <w:lang w:val="en-US" w:eastAsia="zh-CN" w:bidi="ar-SA"/>
        </w:rPr>
        <w:t>以居住证为主要依据，以公办学校为主，将随迁子女纳入流入地义务教育保障范围，持续提高随迁子女在公办学校的就读比例。加快将随迁子女纳入流入地普惠性学前教育、中等职业教育、高中教育保障范围。将农业转移人口纳入城镇社区卫生服务体系，提供健康教育、妇幼保健、预防接种、疾病防控等公共卫生服务。推进居住证与身份证功能衔接，健全以公民身份号码为标识、与居住年限相挂钩的非户籍人口基本公共服务提供机制，稳步实现基本公共服务由常住地供给、覆盖全部常住人口。</w:t>
      </w:r>
    </w:p>
    <w:p w14:paraId="7663B585">
      <w:pPr>
        <w:keepNext w:val="0"/>
        <w:keepLines w:val="0"/>
        <w:pageBreakBefore w:val="0"/>
        <w:widowControl w:val="0"/>
        <w:tabs>
          <w:tab w:val="left" w:pos="3057"/>
        </w:tabs>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bookmarkStart w:id="72" w:name="OLE_LINK101"/>
      <w:r>
        <w:rPr>
          <w:rFonts w:hint="eastAsia" w:ascii="Times New Roman" w:hAnsi="Times New Roman" w:eastAsia="仿宋_GB2312" w:cs="Times New Roman"/>
          <w:kern w:val="2"/>
          <w:sz w:val="32"/>
          <w:szCs w:val="32"/>
          <w:lang w:val="en-US" w:eastAsia="zh-CN" w:bidi="ar-SA"/>
        </w:rPr>
        <w:t>完善多元化住房保障体系。</w:t>
      </w:r>
      <w:bookmarkEnd w:id="72"/>
      <w:r>
        <w:rPr>
          <w:rFonts w:hint="eastAsia" w:ascii="Times New Roman" w:hAnsi="Times New Roman" w:eastAsia="仿宋_GB2312" w:cs="Times New Roman"/>
          <w:kern w:val="2"/>
          <w:sz w:val="32"/>
          <w:szCs w:val="32"/>
          <w:lang w:val="en-US" w:eastAsia="zh-CN" w:bidi="ar-SA"/>
        </w:rPr>
        <w:t>将稳定就业生活的农业转移人口纳入当地住房保障政策范围，通过实物配租公共租赁住房、保障性租赁住房和发放租赁补贴等方式保障农业转移人口住房权益。</w:t>
      </w:r>
      <w:bookmarkStart w:id="73" w:name="OLE_LINK102"/>
    </w:p>
    <w:p w14:paraId="03CD6110">
      <w:pPr>
        <w:keepNext w:val="0"/>
        <w:keepLines w:val="0"/>
        <w:pageBreakBefore w:val="0"/>
        <w:widowControl w:val="0"/>
        <w:tabs>
          <w:tab w:val="left" w:pos="3057"/>
        </w:tabs>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扩大农业转移人口社会保障覆盖面。</w:t>
      </w:r>
      <w:bookmarkEnd w:id="73"/>
      <w:r>
        <w:rPr>
          <w:rFonts w:hint="eastAsia" w:ascii="Times New Roman" w:hAnsi="Times New Roman" w:eastAsia="仿宋_GB2312" w:cs="Times New Roman"/>
          <w:kern w:val="2"/>
          <w:sz w:val="32"/>
          <w:szCs w:val="32"/>
          <w:lang w:val="en-US" w:eastAsia="zh-CN" w:bidi="ar-SA"/>
        </w:rPr>
        <w:t>引导农业转移人口按规定参加职工基本养老保险。落实企业职工基本养老保险全国统筹相关政策，更好实现社会保险关系跨地区转移接续。加强医保关系转移接续服务，完善跨地区异地就医直接结算。将符合条件的农业转移人口纳入社会救助范围，为困难群体基本生活提供兜底保障。</w:t>
      </w:r>
      <w:bookmarkStart w:id="74" w:name="OLE_LINK95"/>
    </w:p>
    <w:p w14:paraId="79CCFB20">
      <w:pPr>
        <w:pStyle w:val="3"/>
        <w:numPr>
          <w:ilvl w:val="0"/>
          <w:numId w:val="3"/>
        </w:numPr>
        <w:bidi w:val="0"/>
        <w:rPr>
          <w:rFonts w:hint="default"/>
          <w:lang w:val="en-US" w:eastAsia="zh-CN"/>
        </w:rPr>
      </w:pPr>
      <w:bookmarkStart w:id="75" w:name="_Toc25887"/>
      <w:r>
        <w:rPr>
          <w:rFonts w:hint="eastAsia"/>
          <w:lang w:val="en-US" w:eastAsia="zh-CN"/>
        </w:rPr>
        <w:t>增强农业转移人口融入县城能力</w:t>
      </w:r>
      <w:bookmarkEnd w:id="75"/>
    </w:p>
    <w:bookmarkEnd w:id="74"/>
    <w:p w14:paraId="7184323F">
      <w:pPr>
        <w:keepNext w:val="0"/>
        <w:keepLines w:val="0"/>
        <w:pageBreakBefore w:val="0"/>
        <w:widowControl w:val="0"/>
        <w:tabs>
          <w:tab w:val="left" w:pos="3057"/>
        </w:tabs>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kern w:val="2"/>
          <w:sz w:val="32"/>
          <w:szCs w:val="32"/>
          <w:lang w:val="en-US" w:eastAsia="zh-CN" w:bidi="ar-SA"/>
        </w:rPr>
      </w:pPr>
      <w:bookmarkStart w:id="76" w:name="OLE_LINK103"/>
      <w:bookmarkStart w:id="77" w:name="OLE_LINK200"/>
      <w:r>
        <w:rPr>
          <w:rFonts w:hint="eastAsia" w:ascii="Times New Roman" w:hAnsi="Times New Roman" w:eastAsia="仿宋_GB2312" w:cs="Times New Roman"/>
          <w:b w:val="0"/>
          <w:bCs w:val="0"/>
          <w:color w:val="auto"/>
          <w:kern w:val="2"/>
          <w:sz w:val="32"/>
          <w:szCs w:val="32"/>
          <w:lang w:val="en-US" w:eastAsia="zh-CN" w:bidi="ar-SA"/>
        </w:rPr>
        <w:t>提高农业转移人口就业质量。</w:t>
      </w:r>
      <w:bookmarkEnd w:id="76"/>
      <w:r>
        <w:rPr>
          <w:rFonts w:hint="eastAsia" w:ascii="Times New Roman" w:hAnsi="Times New Roman" w:eastAsia="仿宋_GB2312" w:cs="Times New Roman"/>
          <w:b w:val="0"/>
          <w:bCs w:val="0"/>
          <w:color w:val="auto"/>
          <w:kern w:val="2"/>
          <w:sz w:val="32"/>
          <w:szCs w:val="32"/>
          <w:lang w:val="en-US" w:eastAsia="zh-CN" w:bidi="ar-SA"/>
        </w:rPr>
        <w:t>发</w:t>
      </w:r>
      <w:r>
        <w:rPr>
          <w:rFonts w:hint="eastAsia" w:ascii="Times New Roman" w:hAnsi="Times New Roman" w:eastAsia="仿宋_GB2312" w:cs="Times New Roman"/>
          <w:color w:val="auto"/>
          <w:kern w:val="2"/>
          <w:sz w:val="32"/>
          <w:szCs w:val="32"/>
          <w:lang w:val="en-US" w:eastAsia="zh-CN" w:bidi="ar-SA"/>
        </w:rPr>
        <w:t>挥县职业院校作用，面向农村转移劳动力开展补贴性职业技能培训，提高农业转移人口在城市的稳定就业能力。深化产教融合，开展企业岗前培训、岗位技能提升培训、企业新型学徒制培训等，完善政府职业技能培训补贴机制，保障培训补贴直达企业和培训者。</w:t>
      </w:r>
      <w:bookmarkEnd w:id="77"/>
    </w:p>
    <w:p w14:paraId="1309CD11">
      <w:pPr>
        <w:keepNext w:val="0"/>
        <w:keepLines w:val="0"/>
        <w:pageBreakBefore w:val="0"/>
        <w:widowControl w:val="0"/>
        <w:tabs>
          <w:tab w:val="left" w:pos="3057"/>
        </w:tabs>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bookmarkStart w:id="78" w:name="OLE_LINK104"/>
      <w:r>
        <w:rPr>
          <w:rFonts w:hint="default" w:ascii="Times New Roman" w:hAnsi="Times New Roman" w:eastAsia="仿宋_GB2312" w:cs="Times New Roman"/>
          <w:b w:val="0"/>
          <w:bCs w:val="0"/>
          <w:color w:val="auto"/>
          <w:kern w:val="2"/>
          <w:sz w:val="32"/>
          <w:szCs w:val="32"/>
          <w:lang w:val="en-US" w:eastAsia="zh-CN" w:bidi="ar-SA"/>
        </w:rPr>
        <w:t>加快营造更加包容关怀的社会环境。</w:t>
      </w:r>
      <w:bookmarkEnd w:id="78"/>
      <w:r>
        <w:rPr>
          <w:rFonts w:hint="default" w:ascii="Times New Roman" w:hAnsi="Times New Roman" w:eastAsia="仿宋_GB2312" w:cs="Times New Roman"/>
          <w:color w:val="auto"/>
          <w:kern w:val="2"/>
          <w:sz w:val="32"/>
          <w:szCs w:val="32"/>
          <w:lang w:val="en-US" w:eastAsia="zh-CN" w:bidi="ar-SA"/>
        </w:rPr>
        <w:t>加强对农业转移人口的权益保护和人文关怀，强化科普教育宣传，提高农民工综合文明素质。积极引导农业转移人口有序参政议政和参加社会管理。鼓励工会、共青团、妇联及志愿者组织等开展关爱农业转移人口行动。在人口集中流入地建立外来人口管理服务机构，提升人口管理服务水平。</w:t>
      </w:r>
    </w:p>
    <w:p w14:paraId="3D0EECF6">
      <w:pPr>
        <w:pStyle w:val="2"/>
        <w:bidi w:val="0"/>
        <w:rPr>
          <w:rFonts w:hint="eastAsia"/>
          <w:lang w:val="en-US" w:eastAsia="zh-CN"/>
        </w:rPr>
      </w:pPr>
      <w:bookmarkStart w:id="79" w:name="OLE_LINK18"/>
    </w:p>
    <w:p w14:paraId="2B5048AC">
      <w:pPr>
        <w:pStyle w:val="2"/>
        <w:bidi w:val="0"/>
        <w:rPr>
          <w:rFonts w:hint="default"/>
          <w:lang w:val="en-US" w:eastAsia="zh-CN"/>
        </w:rPr>
      </w:pPr>
      <w:bookmarkStart w:id="80" w:name="_Toc12326"/>
      <w:r>
        <w:rPr>
          <w:rFonts w:hint="eastAsia"/>
          <w:lang w:val="en-US" w:eastAsia="zh-CN"/>
        </w:rPr>
        <w:t xml:space="preserve">第四章  </w:t>
      </w:r>
      <w:bookmarkStart w:id="81" w:name="OLE_LINK105"/>
      <w:r>
        <w:rPr>
          <w:rFonts w:hint="eastAsia"/>
          <w:lang w:val="en-US" w:eastAsia="zh-CN"/>
        </w:rPr>
        <w:t>提升特色优势产业支撑能力</w:t>
      </w:r>
      <w:bookmarkEnd w:id="80"/>
      <w:bookmarkEnd w:id="81"/>
    </w:p>
    <w:bookmarkEnd w:id="79"/>
    <w:p w14:paraId="7EB73C02">
      <w:pPr>
        <w:ind w:firstLine="640" w:firstLineChars="200"/>
        <w:rPr>
          <w:rFonts w:hint="eastAsia" w:ascii="Times New Roman" w:hAnsi="Times New Roman" w:eastAsia="仿宋_GB2312" w:cs="Times New Roman"/>
          <w:kern w:val="2"/>
          <w:sz w:val="32"/>
          <w:szCs w:val="32"/>
          <w:lang w:val="en-US" w:eastAsia="zh-CN" w:bidi="ar-SA"/>
        </w:rPr>
      </w:pPr>
      <w:bookmarkStart w:id="82" w:name="OLE_LINK125"/>
      <w:r>
        <w:rPr>
          <w:rFonts w:hint="eastAsia" w:ascii="Times New Roman" w:hAnsi="Times New Roman" w:eastAsia="仿宋_GB2312" w:cs="Times New Roman"/>
          <w:kern w:val="2"/>
          <w:sz w:val="32"/>
          <w:szCs w:val="32"/>
          <w:lang w:val="en-US" w:eastAsia="zh-CN" w:bidi="ar-SA"/>
        </w:rPr>
        <w:t>以城区、开发区为载体，促进产业集群发展，形成“三园区三组团”产业高质量发展格局；三园区指侯马经济开发区的三个产业园（侯北产业园、浍南产业园、香邑产业园），三组团为平阳重工片区、铜产业片区、医药产业片区。</w:t>
      </w:r>
      <w:bookmarkEnd w:id="82"/>
    </w:p>
    <w:p w14:paraId="143D2EF5">
      <w:pPr>
        <w:ind w:firstLine="640" w:firstLineChars="200"/>
        <w:rPr>
          <w:rFonts w:hint="eastAsia" w:ascii="Times New Roman" w:hAnsi="Times New Roman" w:eastAsia="仿宋_GB2312" w:cs="Times New Roman"/>
          <w:kern w:val="2"/>
          <w:sz w:val="32"/>
          <w:szCs w:val="32"/>
          <w:lang w:val="en-US" w:eastAsia="zh-CN" w:bidi="ar-SA"/>
        </w:rPr>
      </w:pPr>
      <w:bookmarkStart w:id="83" w:name="OLE_LINK126"/>
      <w:r>
        <w:rPr>
          <w:rFonts w:hint="eastAsia" w:ascii="Times New Roman" w:hAnsi="Times New Roman" w:eastAsia="仿宋_GB2312" w:cs="Times New Roman"/>
          <w:kern w:val="2"/>
          <w:sz w:val="32"/>
          <w:szCs w:val="32"/>
          <w:lang w:val="en-US" w:eastAsia="zh-CN" w:bidi="ar-SA"/>
        </w:rPr>
        <w:t>服务业包括文旅产业发展区、生态休闲旅游区、商务发展区以及物流发展区。</w:t>
      </w:r>
      <w:bookmarkEnd w:id="83"/>
    </w:p>
    <w:p w14:paraId="390F0E9C">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文旅产业发展区由晋国古城文旅发展区和紫金山文旅康养发展区组成；生态休闲旅游区由浍河生态旅游区和香邑湖生态旅游区组成；商务发展区主要为商务区、浍河生态新区、高铁商务区；物流发展区包括</w:t>
      </w:r>
      <w:bookmarkStart w:id="84" w:name="OLE_LINK127"/>
      <w:r>
        <w:rPr>
          <w:rFonts w:hint="eastAsia" w:ascii="Times New Roman" w:hAnsi="Times New Roman" w:eastAsia="仿宋_GB2312" w:cs="Times New Roman"/>
          <w:kern w:val="2"/>
          <w:sz w:val="32"/>
          <w:szCs w:val="32"/>
          <w:lang w:val="en-US" w:eastAsia="zh-CN" w:bidi="ar-SA"/>
        </w:rPr>
        <w:t>侯西物流集散中心、浍南物流集散中心、振通物流集散中心、侯北物流集散中心四个中心。</w:t>
      </w:r>
    </w:p>
    <w:bookmarkEnd w:id="84"/>
    <w:p w14:paraId="2DACC1CA">
      <w:pPr>
        <w:ind w:firstLine="420" w:firstLineChars="200"/>
        <w:rPr>
          <w:rFonts w:hint="default"/>
          <w:lang w:val="en-US" w:eastAsia="zh-CN"/>
        </w:rPr>
      </w:pPr>
    </w:p>
    <w:p w14:paraId="7467C7B2">
      <w:pPr>
        <w:rPr>
          <w:rFonts w:hint="default"/>
          <w:lang w:val="en-US" w:eastAsia="zh-CN"/>
        </w:rPr>
      </w:pPr>
    </w:p>
    <w:p w14:paraId="7A1B500E">
      <w:pPr>
        <w:ind w:firstLine="420" w:firstLineChars="200"/>
        <w:rPr>
          <w:rFonts w:hint="default"/>
          <w:lang w:val="en-US" w:eastAsia="zh-CN"/>
        </w:rPr>
      </w:pPr>
    </w:p>
    <w:p w14:paraId="4911B0B0">
      <w:pPr>
        <w:pStyle w:val="2"/>
        <w:bidi w:val="0"/>
        <w:rPr>
          <w:rFonts w:hint="default"/>
          <w:lang w:val="en-US" w:eastAsia="zh-CN"/>
        </w:rPr>
      </w:pPr>
      <w:bookmarkStart w:id="85" w:name="_Toc32010"/>
      <w:bookmarkStart w:id="86" w:name="_Toc26605"/>
      <w:r>
        <w:rPr>
          <w:rFonts w:hint="eastAsia"/>
          <w:lang w:val="en-US" w:eastAsia="zh-CN"/>
        </w:rPr>
        <w:t xml:space="preserve">第五章  </w:t>
      </w:r>
      <w:bookmarkStart w:id="87" w:name="OLE_LINK130"/>
      <w:r>
        <w:rPr>
          <w:rFonts w:hint="eastAsia"/>
          <w:lang w:val="en-US" w:eastAsia="zh-CN"/>
        </w:rPr>
        <w:t>提升城市发展品质</w:t>
      </w:r>
      <w:bookmarkEnd w:id="85"/>
      <w:bookmarkEnd w:id="86"/>
      <w:bookmarkEnd w:id="87"/>
    </w:p>
    <w:p w14:paraId="16283EB1">
      <w:pPr>
        <w:pStyle w:val="3"/>
        <w:numPr>
          <w:ilvl w:val="0"/>
          <w:numId w:val="4"/>
        </w:numPr>
        <w:bidi w:val="0"/>
        <w:rPr>
          <w:rFonts w:hint="eastAsia"/>
          <w:lang w:val="en-US" w:eastAsia="zh-CN"/>
        </w:rPr>
      </w:pPr>
      <w:bookmarkStart w:id="88" w:name="_Toc10804"/>
      <w:bookmarkStart w:id="89" w:name="_Toc17063"/>
      <w:bookmarkStart w:id="90" w:name="OLE_LINK131"/>
      <w:r>
        <w:rPr>
          <w:rFonts w:hint="eastAsia"/>
          <w:lang w:val="en-US" w:eastAsia="zh-CN"/>
        </w:rPr>
        <w:t>推进城乡居住条件改善</w:t>
      </w:r>
      <w:bookmarkEnd w:id="88"/>
      <w:bookmarkEnd w:id="89"/>
    </w:p>
    <w:bookmarkEnd w:id="90"/>
    <w:p w14:paraId="409B50D5">
      <w:pPr>
        <w:ind w:firstLine="640" w:firstLineChars="200"/>
        <w:rPr>
          <w:rFonts w:hint="eastAsia" w:ascii="Times New Roman" w:hAnsi="Times New Roman" w:eastAsia="仿宋_GB2312" w:cs="Times New Roman"/>
          <w:kern w:val="2"/>
          <w:sz w:val="32"/>
          <w:szCs w:val="32"/>
          <w:lang w:val="en-US" w:eastAsia="zh-CN" w:bidi="ar-SA"/>
        </w:rPr>
      </w:pPr>
      <w:bookmarkStart w:id="91" w:name="OLE_LINK132"/>
      <w:bookmarkStart w:id="92" w:name="OLE_LINK201"/>
      <w:r>
        <w:rPr>
          <w:rFonts w:hint="eastAsia" w:ascii="Times New Roman" w:hAnsi="Times New Roman" w:eastAsia="仿宋_GB2312" w:cs="Times New Roman"/>
          <w:kern w:val="2"/>
          <w:sz w:val="32"/>
          <w:szCs w:val="32"/>
          <w:lang w:val="en-US" w:eastAsia="zh-CN" w:bidi="ar-SA"/>
        </w:rPr>
        <w:t>着力解决市民住房问题，保障和改善居民居住条件，</w:t>
      </w:r>
      <w:bookmarkEnd w:id="91"/>
      <w:r>
        <w:rPr>
          <w:rFonts w:hint="eastAsia" w:ascii="Times New Roman" w:hAnsi="Times New Roman" w:eastAsia="仿宋_GB2312" w:cs="Times New Roman"/>
          <w:kern w:val="2"/>
          <w:sz w:val="32"/>
          <w:szCs w:val="32"/>
          <w:lang w:val="en-US" w:eastAsia="zh-CN" w:bidi="ar-SA"/>
        </w:rPr>
        <w:t xml:space="preserve"> 进一步提高宜居性。以老旧小区改造和完整社区建设为重点，以完善社区基层治理机制为保障，促进城镇经济社会复兴， 全面提升城镇活力。</w:t>
      </w:r>
      <w:bookmarkStart w:id="93" w:name="OLE_LINK133"/>
      <w:r>
        <w:rPr>
          <w:rFonts w:hint="eastAsia" w:ascii="Times New Roman" w:hAnsi="Times New Roman" w:eastAsia="仿宋_GB2312" w:cs="Times New Roman"/>
          <w:kern w:val="2"/>
          <w:sz w:val="32"/>
          <w:szCs w:val="32"/>
          <w:lang w:val="en-US" w:eastAsia="zh-CN" w:bidi="ar-SA"/>
        </w:rPr>
        <w:t>高标准、高质量、高水平推进老旧小区 改造。</w:t>
      </w:r>
      <w:bookmarkEnd w:id="92"/>
      <w:bookmarkEnd w:id="93"/>
      <w:r>
        <w:rPr>
          <w:rFonts w:hint="eastAsia" w:ascii="Times New Roman" w:hAnsi="Times New Roman" w:eastAsia="仿宋_GB2312" w:cs="Times New Roman"/>
          <w:kern w:val="2"/>
          <w:sz w:val="32"/>
          <w:szCs w:val="32"/>
          <w:lang w:val="en-US" w:eastAsia="zh-CN" w:bidi="ar-SA"/>
        </w:rPr>
        <w:t>以满足居民安全居住和基本生活需求为重点，重点解 决老旧小区基础设施不完善、停车难、消防安全等问题，改 善基本生活条件。</w:t>
      </w:r>
      <w:bookmarkStart w:id="94" w:name="OLE_LINK202"/>
      <w:r>
        <w:rPr>
          <w:rFonts w:hint="eastAsia" w:ascii="Times New Roman" w:hAnsi="Times New Roman" w:eastAsia="仿宋_GB2312" w:cs="Times New Roman"/>
          <w:kern w:val="2"/>
          <w:sz w:val="32"/>
          <w:szCs w:val="32"/>
          <w:lang w:val="en-US" w:eastAsia="zh-CN" w:bidi="ar-SA"/>
        </w:rPr>
        <w:t>加强城乡环境综合整治，强化农村房屋建设管理体系建设，保障农房建设质量安全和乡村风貌。</w:t>
      </w:r>
    </w:p>
    <w:bookmarkEnd w:id="94"/>
    <w:p w14:paraId="2F7A65CB">
      <w:pPr>
        <w:pStyle w:val="3"/>
        <w:numPr>
          <w:ilvl w:val="0"/>
          <w:numId w:val="4"/>
        </w:numPr>
        <w:bidi w:val="0"/>
        <w:rPr>
          <w:rFonts w:hint="eastAsia"/>
          <w:lang w:val="en-US" w:eastAsia="zh-CN"/>
        </w:rPr>
      </w:pPr>
      <w:bookmarkStart w:id="95" w:name="_Toc10399"/>
      <w:bookmarkStart w:id="96" w:name="_Toc2662"/>
      <w:bookmarkStart w:id="97" w:name="OLE_LINK135"/>
      <w:r>
        <w:rPr>
          <w:rFonts w:hint="eastAsia"/>
          <w:lang w:val="en-US" w:eastAsia="zh-CN"/>
        </w:rPr>
        <w:t>加强基础设施升级改造</w:t>
      </w:r>
      <w:bookmarkEnd w:id="95"/>
      <w:bookmarkEnd w:id="96"/>
    </w:p>
    <w:bookmarkEnd w:id="97"/>
    <w:p w14:paraId="10C8865F">
      <w:pPr>
        <w:keepNext w:val="0"/>
        <w:keepLines w:val="0"/>
        <w:widowControl/>
        <w:suppressLineNumbers w:val="0"/>
        <w:ind w:firstLine="643" w:firstLineChars="200"/>
        <w:jc w:val="left"/>
        <w:rPr>
          <w:rFonts w:hint="eastAsia" w:ascii="仿宋_GB2312" w:hAnsi="仿宋_GB2312" w:eastAsia="仿宋_GB2312" w:cs="仿宋_GB2312"/>
          <w:color w:val="auto"/>
          <w:kern w:val="0"/>
          <w:sz w:val="32"/>
          <w:szCs w:val="32"/>
          <w:lang w:val="en-US" w:eastAsia="zh-CN" w:bidi="ar"/>
        </w:rPr>
      </w:pPr>
      <w:bookmarkStart w:id="98" w:name="OLE_LINK203"/>
      <w:bookmarkStart w:id="99" w:name="OLE_LINK136"/>
      <w:r>
        <w:rPr>
          <w:rFonts w:hint="eastAsia" w:ascii="仿宋_GB2312" w:hAnsi="仿宋_GB2312" w:eastAsia="仿宋_GB2312" w:cs="仿宋_GB2312"/>
          <w:b/>
          <w:bCs/>
          <w:color w:val="auto"/>
          <w:sz w:val="32"/>
          <w:szCs w:val="32"/>
          <w:lang w:val="en-US" w:eastAsia="zh-CN"/>
        </w:rPr>
        <w:t>提升居民用电质量。</w:t>
      </w:r>
      <w:bookmarkEnd w:id="98"/>
      <w:bookmarkStart w:id="100" w:name="OLE_LINK204"/>
      <w:r>
        <w:rPr>
          <w:rFonts w:hint="eastAsia" w:ascii="仿宋_GB2312" w:hAnsi="仿宋_GB2312" w:eastAsia="仿宋_GB2312" w:cs="仿宋_GB2312"/>
          <w:b w:val="0"/>
          <w:bCs w:val="0"/>
          <w:color w:val="auto"/>
          <w:sz w:val="32"/>
          <w:szCs w:val="32"/>
          <w:lang w:val="en-US" w:eastAsia="zh-CN"/>
        </w:rPr>
        <w:t>优化电网结构，加强各电压等级电 网网架的建设，</w:t>
      </w:r>
      <w:bookmarkEnd w:id="99"/>
      <w:r>
        <w:rPr>
          <w:rFonts w:hint="eastAsia" w:ascii="仿宋_GB2312" w:hAnsi="仿宋_GB2312" w:eastAsia="仿宋_GB2312" w:cs="仿宋_GB2312"/>
          <w:b w:val="0"/>
          <w:bCs w:val="0"/>
          <w:color w:val="auto"/>
          <w:sz w:val="32"/>
          <w:szCs w:val="32"/>
          <w:lang w:val="en-US" w:eastAsia="zh-CN"/>
        </w:rPr>
        <w:t>做到网架结构合理，运行灵活，电压层次简 化，供电安全可靠。</w:t>
      </w:r>
      <w:bookmarkEnd w:id="100"/>
      <w:r>
        <w:rPr>
          <w:rFonts w:hint="eastAsia" w:ascii="仿宋_GB2312" w:hAnsi="仿宋_GB2312" w:eastAsia="仿宋_GB2312" w:cs="仿宋_GB2312"/>
          <w:color w:val="auto"/>
          <w:kern w:val="0"/>
          <w:sz w:val="32"/>
          <w:szCs w:val="32"/>
          <w:lang w:val="en-US" w:eastAsia="zh-CN" w:bidi="ar"/>
        </w:rPr>
        <w:t>保留市域内现状紫金山220kV变电站、高村站110kV变电站、单家营站110kV变电站、乔村站110kV变电站、南庄站110kV变电站和西凤站110kV变电站，随着北西庄110kV变电站、驿桥（史店）110kV变电站建设，形成以市域内紫金山220kV变电站、市域外东部安居220kV变电站为电源，7座110kV变电站互连成环的“两源一环”的主干网架。</w:t>
      </w:r>
      <w:r>
        <w:rPr>
          <w:rFonts w:hint="eastAsia" w:ascii="仿宋_GB2312" w:hAnsi="仿宋_GB2312" w:eastAsia="仿宋_GB2312" w:cs="仿宋_GB2312"/>
          <w:b w:val="0"/>
          <w:bCs w:val="0"/>
          <w:color w:val="auto"/>
          <w:sz w:val="32"/>
          <w:szCs w:val="32"/>
          <w:lang w:val="en-US" w:eastAsia="zh-CN"/>
        </w:rPr>
        <w:t>10千伏电网基本形成“手拉手”环路供电和双电源供电结构，提升城乡居民生活用电质量。</w:t>
      </w:r>
      <w:r>
        <w:rPr>
          <w:rFonts w:hint="eastAsia" w:ascii="仿宋_GB2312" w:hAnsi="仿宋_GB2312" w:eastAsia="仿宋_GB2312" w:cs="仿宋_GB2312"/>
          <w:color w:val="auto"/>
          <w:kern w:val="0"/>
          <w:sz w:val="32"/>
          <w:szCs w:val="32"/>
          <w:lang w:val="en-US" w:eastAsia="zh-CN" w:bidi="ar"/>
        </w:rPr>
        <w:t>农村供电设施增加10kV变电站布点，优化城乡网架结构，提高线路联络率，缩短主干线长度，提升配电网供电质量。</w:t>
      </w:r>
    </w:p>
    <w:p w14:paraId="38EE35EF">
      <w:pPr>
        <w:keepNext w:val="0"/>
        <w:keepLines w:val="0"/>
        <w:widowControl/>
        <w:suppressLineNumbers w:val="0"/>
        <w:ind w:firstLine="643" w:firstLineChars="200"/>
        <w:jc w:val="left"/>
        <w:rPr>
          <w:rFonts w:hint="eastAsia" w:ascii="仿宋_GB2312" w:hAnsi="仿宋_GB2312" w:eastAsia="仿宋_GB2312" w:cs="仿宋_GB2312"/>
          <w:b w:val="0"/>
          <w:bCs w:val="0"/>
          <w:color w:val="auto"/>
          <w:sz w:val="32"/>
          <w:szCs w:val="32"/>
          <w:lang w:val="en-US" w:eastAsia="zh-CN"/>
        </w:rPr>
      </w:pPr>
      <w:bookmarkStart w:id="101" w:name="OLE_LINK205"/>
      <w:bookmarkStart w:id="102" w:name="OLE_LINK138"/>
      <w:r>
        <w:rPr>
          <w:rFonts w:hint="eastAsia" w:ascii="仿宋_GB2312" w:hAnsi="仿宋_GB2312" w:eastAsia="仿宋_GB2312" w:cs="仿宋_GB2312"/>
          <w:b/>
          <w:bCs/>
          <w:color w:val="auto"/>
          <w:sz w:val="32"/>
          <w:szCs w:val="32"/>
          <w:lang w:val="en-US" w:eastAsia="zh-CN"/>
        </w:rPr>
        <w:t>健全城乡供水体系。</w:t>
      </w:r>
      <w:bookmarkEnd w:id="101"/>
      <w:bookmarkStart w:id="103" w:name="OLE_LINK206"/>
      <w:r>
        <w:rPr>
          <w:rFonts w:hint="eastAsia" w:ascii="仿宋_GB2312" w:hAnsi="仿宋_GB2312" w:eastAsia="仿宋_GB2312" w:cs="仿宋_GB2312"/>
          <w:color w:val="auto"/>
          <w:kern w:val="0"/>
          <w:sz w:val="32"/>
          <w:szCs w:val="32"/>
          <w:lang w:val="en-US" w:eastAsia="zh-CN" w:bidi="ar"/>
        </w:rPr>
        <w:t>统筹调配市域水资源，完善城乡供水网</w:t>
      </w:r>
      <w:r>
        <w:rPr>
          <w:rFonts w:hint="eastAsia" w:ascii="仿宋_GB2312" w:hAnsi="仿宋_GB2312" w:eastAsia="仿宋_GB2312" w:cs="仿宋_GB2312"/>
          <w:b w:val="0"/>
          <w:bCs w:val="0"/>
          <w:color w:val="auto"/>
          <w:sz w:val="32"/>
          <w:szCs w:val="32"/>
          <w:lang w:val="en-US" w:eastAsia="zh-CN"/>
        </w:rPr>
        <w:t>络，建设辐射城乡的一体化供水系统。</w:t>
      </w:r>
      <w:bookmarkEnd w:id="103"/>
      <w:r>
        <w:rPr>
          <w:rFonts w:hint="eastAsia" w:ascii="仿宋_GB2312" w:hAnsi="仿宋_GB2312" w:eastAsia="仿宋_GB2312" w:cs="仿宋_GB2312"/>
          <w:b w:val="0"/>
          <w:bCs w:val="0"/>
          <w:color w:val="auto"/>
          <w:sz w:val="32"/>
          <w:szCs w:val="32"/>
          <w:lang w:val="en-US" w:eastAsia="zh-CN"/>
        </w:rPr>
        <w:t>加快城镇供水站建设和管网建设，不断提高供水质量和覆盖水平，提升全域供水能力。维修农村供水工程，标准化饮用水源地提标升级。</w:t>
      </w:r>
    </w:p>
    <w:bookmarkEnd w:id="102"/>
    <w:p w14:paraId="28087891">
      <w:pPr>
        <w:keepNext w:val="0"/>
        <w:keepLines w:val="0"/>
        <w:widowControl/>
        <w:suppressLineNumbers w:val="0"/>
        <w:ind w:firstLine="643" w:firstLineChars="200"/>
        <w:jc w:val="left"/>
        <w:rPr>
          <w:rFonts w:hint="eastAsia" w:ascii="仿宋_GB2312" w:hAnsi="仿宋_GB2312" w:eastAsia="仿宋_GB2312" w:cs="仿宋_GB2312"/>
          <w:sz w:val="32"/>
          <w:szCs w:val="32"/>
        </w:rPr>
      </w:pPr>
      <w:bookmarkStart w:id="104" w:name="OLE_LINK207"/>
      <w:bookmarkStart w:id="105" w:name="OLE_LINK141"/>
      <w:r>
        <w:rPr>
          <w:rFonts w:hint="eastAsia" w:ascii="仿宋_GB2312" w:hAnsi="仿宋_GB2312" w:eastAsia="仿宋_GB2312" w:cs="仿宋_GB2312"/>
          <w:b/>
          <w:bCs/>
          <w:color w:val="auto"/>
          <w:sz w:val="32"/>
          <w:szCs w:val="32"/>
          <w:lang w:val="en-US" w:eastAsia="zh-CN"/>
        </w:rPr>
        <w:t>完善城乡排水体系。</w:t>
      </w:r>
      <w:bookmarkEnd w:id="104"/>
      <w:r>
        <w:rPr>
          <w:rFonts w:hint="eastAsia" w:ascii="仿宋_GB2312" w:hAnsi="仿宋_GB2312" w:eastAsia="仿宋_GB2312" w:cs="仿宋_GB2312"/>
          <w:color w:val="000000"/>
          <w:kern w:val="0"/>
          <w:sz w:val="32"/>
          <w:szCs w:val="32"/>
          <w:lang w:val="en-US" w:eastAsia="zh-CN" w:bidi="ar"/>
        </w:rPr>
        <w:t>规划期末</w:t>
      </w:r>
      <w:bookmarkStart w:id="106" w:name="OLE_LINK208"/>
      <w:r>
        <w:rPr>
          <w:rFonts w:hint="eastAsia" w:ascii="仿宋_GB2312" w:hAnsi="仿宋_GB2312" w:eastAsia="仿宋_GB2312" w:cs="仿宋_GB2312"/>
          <w:color w:val="000000"/>
          <w:kern w:val="0"/>
          <w:sz w:val="32"/>
          <w:szCs w:val="32"/>
          <w:lang w:val="en-US" w:eastAsia="zh-CN" w:bidi="ar"/>
        </w:rPr>
        <w:t>力争城市生活污水处理率达100%，工业废水处理率</w:t>
      </w:r>
      <w:bookmarkStart w:id="107" w:name="OLE_LINK140"/>
      <w:r>
        <w:rPr>
          <w:rFonts w:hint="eastAsia" w:ascii="仿宋_GB2312" w:hAnsi="仿宋_GB2312" w:eastAsia="仿宋_GB2312" w:cs="仿宋_GB2312"/>
          <w:color w:val="000000"/>
          <w:kern w:val="0"/>
          <w:sz w:val="32"/>
          <w:szCs w:val="32"/>
          <w:lang w:val="en-US" w:eastAsia="zh-CN" w:bidi="ar"/>
        </w:rPr>
        <w:t>达</w:t>
      </w:r>
      <w:bookmarkEnd w:id="107"/>
      <w:r>
        <w:rPr>
          <w:rFonts w:hint="eastAsia" w:ascii="仿宋_GB2312" w:hAnsi="仿宋_GB2312" w:eastAsia="仿宋_GB2312" w:cs="仿宋_GB2312"/>
          <w:color w:val="000000"/>
          <w:kern w:val="0"/>
          <w:sz w:val="32"/>
          <w:szCs w:val="32"/>
          <w:lang w:val="en-US" w:eastAsia="zh-CN" w:bidi="ar"/>
        </w:rPr>
        <w:t>100%，再生水回用率达35%。</w:t>
      </w:r>
      <w:bookmarkEnd w:id="106"/>
      <w:r>
        <w:rPr>
          <w:rFonts w:hint="eastAsia" w:ascii="仿宋_GB2312" w:hAnsi="仿宋_GB2312" w:eastAsia="仿宋_GB2312" w:cs="仿宋_GB2312"/>
          <w:color w:val="000000"/>
          <w:kern w:val="0"/>
          <w:sz w:val="32"/>
          <w:szCs w:val="32"/>
          <w:lang w:val="en-US" w:eastAsia="zh-CN" w:bidi="ar"/>
        </w:rPr>
        <w:t>农村生活污水采用纳管集中治理、建站集中治理以及分散简易治理三种模式，农村基本具备生活污水收集处理能力。完善中心城区雨污水主管道，中心城区沿望桥街、紫金山南街、通浍街等主要道路敷设污水主管道。</w:t>
      </w:r>
      <w:bookmarkEnd w:id="105"/>
    </w:p>
    <w:p w14:paraId="1455106F">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构建蓄排结合的内涝防治体系。建设源头减排、蓄排结合、排涝除险、超标应急的城市防洪排涝体系，提高城市防洪排涝能力。浍河流域（侯马段）主城区河段防洪标准为 50 年一遇设防，其他地区防洪标准为 20 年一遇设防。汾河流域（侯马段）防洪标准为 20 年一遇设防。加大城市排水管网、泵站等设施改造力度，完善城市排水管渠、排涝除险、蓄水空间等设施。中心城区东外环、通浍街、合欢街、海军街、浍滨街、紫金山街、望桥街作为防涝 行泄通道，有效组织地面径流。利用公共绿地、公园、广场等 开敞空间建设雨水调蓄设施，结合森林公园、东城公园和综合场馆等大型设施建设雨水调蓄设施，确保雨季时城市正常运行，保证排水安全。</w:t>
      </w:r>
    </w:p>
    <w:p w14:paraId="13411747">
      <w:pPr>
        <w:keepNext w:val="0"/>
        <w:keepLines w:val="0"/>
        <w:widowControl/>
        <w:suppressLineNumbers w:val="0"/>
        <w:ind w:firstLine="643" w:firstLineChars="200"/>
        <w:jc w:val="left"/>
        <w:rPr>
          <w:rFonts w:hint="eastAsia" w:ascii="仿宋_GB2312" w:hAnsi="仿宋_GB2312" w:eastAsia="仿宋_GB2312" w:cs="仿宋_GB2312"/>
          <w:b w:val="0"/>
          <w:bCs w:val="0"/>
          <w:color w:val="auto"/>
          <w:sz w:val="32"/>
          <w:szCs w:val="32"/>
          <w:lang w:val="en-US" w:eastAsia="zh-CN"/>
        </w:rPr>
      </w:pPr>
      <w:bookmarkStart w:id="108" w:name="OLE_LINK144"/>
      <w:r>
        <w:rPr>
          <w:rFonts w:hint="eastAsia" w:ascii="仿宋_GB2312" w:hAnsi="仿宋_GB2312" w:eastAsia="仿宋_GB2312" w:cs="仿宋_GB2312"/>
          <w:b/>
          <w:bCs/>
          <w:color w:val="auto"/>
          <w:sz w:val="32"/>
          <w:szCs w:val="32"/>
          <w:lang w:val="en-US" w:eastAsia="zh-CN"/>
        </w:rPr>
        <w:t>完善燃气供应系统。</w:t>
      </w:r>
      <w:bookmarkEnd w:id="108"/>
      <w:r>
        <w:rPr>
          <w:rFonts w:hint="eastAsia" w:ascii="仿宋_GB2312" w:hAnsi="仿宋_GB2312" w:eastAsia="仿宋_GB2312" w:cs="仿宋_GB2312"/>
          <w:b w:val="0"/>
          <w:bCs w:val="0"/>
          <w:color w:val="auto"/>
          <w:sz w:val="32"/>
          <w:szCs w:val="32"/>
          <w:lang w:val="en-US" w:eastAsia="zh-CN"/>
        </w:rPr>
        <w:t>积极做好与国土空间规划的衔接工作，规范化管理燃气企业，加强储气设施能力建设，</w:t>
      </w:r>
      <w:bookmarkStart w:id="109" w:name="OLE_LINK143"/>
      <w:r>
        <w:rPr>
          <w:rFonts w:hint="eastAsia" w:ascii="仿宋_GB2312" w:hAnsi="仿宋_GB2312" w:eastAsia="仿宋_GB2312" w:cs="仿宋_GB2312"/>
          <w:b w:val="0"/>
          <w:bCs w:val="0"/>
          <w:color w:val="auto"/>
          <w:sz w:val="32"/>
          <w:szCs w:val="32"/>
          <w:lang w:val="en-US" w:eastAsia="zh-CN"/>
        </w:rPr>
        <w:t>推进燃气设施建设提品质、补短板。</w:t>
      </w:r>
      <w:bookmarkEnd w:id="109"/>
      <w:r>
        <w:rPr>
          <w:rFonts w:hint="eastAsia" w:ascii="仿宋_GB2312" w:hAnsi="仿宋_GB2312" w:eastAsia="仿宋_GB2312" w:cs="仿宋_GB2312"/>
          <w:b w:val="0"/>
          <w:bCs w:val="0"/>
          <w:color w:val="auto"/>
          <w:sz w:val="32"/>
          <w:szCs w:val="32"/>
          <w:lang w:val="en-US" w:eastAsia="zh-CN"/>
        </w:rPr>
        <w:t>拓展燃气管道建设区域，积极推动支管网向城市未覆盖区域延伸，提高燃气普及率。结合城市更新，加强旧城管网改造，配套优化管网布局。实施管道燃气建设项目，提升配套设施及管网。扩大天然气利用领域和规模，研究制定配套扶持政策，推进天然气分布式能源发展。逐步推进各村庄居民点燃气管网建设，促进城镇燃气基础设施统筹协调发展。推进信息化系统建设，预防和减少燃气事故发生。加强安全隐患排查整治，消除安全隐患，提高燃气行业应急处置能力。</w:t>
      </w:r>
    </w:p>
    <w:p w14:paraId="2E18F388">
      <w:pPr>
        <w:keepNext w:val="0"/>
        <w:keepLines w:val="0"/>
        <w:widowControl/>
        <w:suppressLineNumbers w:val="0"/>
        <w:ind w:firstLine="643" w:firstLineChars="200"/>
        <w:jc w:val="left"/>
        <w:rPr>
          <w:rFonts w:hint="eastAsia" w:ascii="仿宋_GB2312" w:hAnsi="仿宋_GB2312" w:eastAsia="仿宋_GB2312" w:cs="仿宋_GB2312"/>
          <w:b w:val="0"/>
          <w:bCs w:val="0"/>
          <w:color w:val="auto"/>
          <w:sz w:val="32"/>
          <w:szCs w:val="32"/>
          <w:lang w:val="en-US" w:eastAsia="zh-CN"/>
        </w:rPr>
      </w:pPr>
      <w:bookmarkStart w:id="110" w:name="OLE_LINK212"/>
      <w:r>
        <w:rPr>
          <w:rFonts w:hint="eastAsia" w:ascii="仿宋_GB2312" w:hAnsi="仿宋_GB2312" w:eastAsia="仿宋_GB2312" w:cs="仿宋_GB2312"/>
          <w:b/>
          <w:bCs/>
          <w:color w:val="auto"/>
          <w:sz w:val="32"/>
          <w:szCs w:val="32"/>
          <w:lang w:val="en-US" w:eastAsia="zh-CN"/>
        </w:rPr>
        <w:t>完善供热保障体系。</w:t>
      </w:r>
      <w:bookmarkEnd w:id="110"/>
      <w:r>
        <w:rPr>
          <w:rFonts w:hint="eastAsia" w:ascii="仿宋_GB2312" w:hAnsi="仿宋_GB2312" w:eastAsia="仿宋_GB2312" w:cs="仿宋_GB2312"/>
          <w:b w:val="0"/>
          <w:bCs w:val="0"/>
          <w:color w:val="auto"/>
          <w:sz w:val="32"/>
          <w:szCs w:val="32"/>
          <w:lang w:val="en-US" w:eastAsia="zh-CN"/>
        </w:rPr>
        <w:t>完善城区供热体系，在供热管网覆盖不到的区域，规划“全域无煤采暖”“宜电则电、宜气则气”。</w:t>
      </w:r>
    </w:p>
    <w:p w14:paraId="165C62CD">
      <w:pPr>
        <w:keepNext w:val="0"/>
        <w:keepLines w:val="0"/>
        <w:widowControl/>
        <w:suppressLineNumbers w:val="0"/>
        <w:ind w:firstLine="643" w:firstLineChars="200"/>
        <w:jc w:val="left"/>
        <w:rPr>
          <w:rFonts w:hint="eastAsia" w:ascii="仿宋_GB2312" w:hAnsi="仿宋_GB2312" w:eastAsia="仿宋_GB2312" w:cs="仿宋_GB2312"/>
          <w:b w:val="0"/>
          <w:bCs w:val="0"/>
          <w:color w:val="auto"/>
          <w:sz w:val="32"/>
          <w:szCs w:val="32"/>
          <w:lang w:val="en-US" w:eastAsia="zh-CN"/>
        </w:rPr>
      </w:pPr>
      <w:bookmarkStart w:id="111" w:name="OLE_LINK146"/>
      <w:r>
        <w:rPr>
          <w:rFonts w:hint="eastAsia" w:ascii="仿宋_GB2312" w:hAnsi="仿宋_GB2312" w:eastAsia="仿宋_GB2312" w:cs="仿宋_GB2312"/>
          <w:b/>
          <w:bCs/>
          <w:color w:val="auto"/>
          <w:sz w:val="32"/>
          <w:szCs w:val="32"/>
          <w:lang w:val="en-US" w:eastAsia="zh-CN"/>
        </w:rPr>
        <w:t>提高垃圾处理水平。</w:t>
      </w:r>
      <w:bookmarkEnd w:id="111"/>
      <w:bookmarkStart w:id="112" w:name="OLE_LINK215"/>
      <w:r>
        <w:rPr>
          <w:rFonts w:hint="eastAsia" w:ascii="仿宋_GB2312" w:hAnsi="仿宋_GB2312" w:eastAsia="仿宋_GB2312" w:cs="仿宋_GB2312"/>
          <w:b w:val="0"/>
          <w:bCs w:val="0"/>
          <w:color w:val="auto"/>
          <w:sz w:val="32"/>
          <w:szCs w:val="32"/>
          <w:lang w:val="en-US" w:eastAsia="zh-CN"/>
        </w:rPr>
        <w:t>推行垃圾分类制度，加快建立分类投放、分类收集、分类运输、分类处理的垃圾处理系统，</w:t>
      </w:r>
      <w:bookmarkEnd w:id="112"/>
      <w:r>
        <w:rPr>
          <w:rFonts w:hint="eastAsia" w:ascii="仿宋_GB2312" w:hAnsi="仿宋_GB2312" w:eastAsia="仿宋_GB2312" w:cs="仿宋_GB2312"/>
          <w:b w:val="0"/>
          <w:bCs w:val="0"/>
          <w:color w:val="auto"/>
          <w:sz w:val="32"/>
          <w:szCs w:val="32"/>
          <w:lang w:val="en-US" w:eastAsia="zh-CN"/>
        </w:rPr>
        <w:t>逐步健全生活垃圾收集转运体系，配齐配足垃圾转运车辆，合理配置、更新分类收集箱，</w:t>
      </w:r>
      <w:bookmarkStart w:id="113" w:name="OLE_LINK147"/>
      <w:r>
        <w:rPr>
          <w:rFonts w:hint="eastAsia" w:ascii="仿宋_GB2312" w:hAnsi="仿宋_GB2312" w:eastAsia="仿宋_GB2312" w:cs="仿宋_GB2312"/>
          <w:b w:val="0"/>
          <w:bCs w:val="0"/>
          <w:color w:val="auto"/>
          <w:sz w:val="32"/>
          <w:szCs w:val="32"/>
          <w:lang w:val="en-US" w:eastAsia="zh-CN"/>
        </w:rPr>
        <w:t>更新完善城乡垃圾收运处置体系，探索生活垃圾无害化处理新技术的应用。</w:t>
      </w:r>
      <w:bookmarkStart w:id="114" w:name="OLE_LINK216"/>
      <w:r>
        <w:rPr>
          <w:rFonts w:hint="eastAsia" w:ascii="仿宋_GB2312" w:hAnsi="仿宋_GB2312" w:eastAsia="仿宋_GB2312" w:cs="仿宋_GB2312"/>
          <w:b w:val="0"/>
          <w:bCs w:val="0"/>
          <w:color w:val="auto"/>
          <w:sz w:val="32"/>
          <w:szCs w:val="32"/>
          <w:lang w:val="en-US" w:eastAsia="zh-CN"/>
        </w:rPr>
        <w:t>加快废旧物资循环利用体系建设，</w:t>
      </w:r>
      <w:bookmarkEnd w:id="113"/>
      <w:r>
        <w:rPr>
          <w:rFonts w:hint="eastAsia" w:ascii="仿宋_GB2312" w:hAnsi="仿宋_GB2312" w:eastAsia="仿宋_GB2312" w:cs="仿宋_GB2312"/>
          <w:b w:val="0"/>
          <w:bCs w:val="0"/>
          <w:color w:val="auto"/>
          <w:sz w:val="32"/>
          <w:szCs w:val="32"/>
          <w:lang w:val="en-US" w:eastAsia="zh-CN"/>
        </w:rPr>
        <w:t>完善废旧物资回收网络，</w:t>
      </w:r>
      <w:bookmarkEnd w:id="114"/>
      <w:r>
        <w:rPr>
          <w:rFonts w:hint="eastAsia" w:ascii="仿宋_GB2312" w:hAnsi="仿宋_GB2312" w:eastAsia="仿宋_GB2312" w:cs="仿宋_GB2312"/>
          <w:b w:val="0"/>
          <w:bCs w:val="0"/>
          <w:color w:val="auto"/>
          <w:sz w:val="32"/>
          <w:szCs w:val="32"/>
          <w:lang w:val="en-US" w:eastAsia="zh-CN"/>
        </w:rPr>
        <w:t>对居民进行垃圾分类科普教育活动，促进垃圾源头分类，进一步提高可回收资源利用率。</w:t>
      </w:r>
    </w:p>
    <w:p w14:paraId="1A1985AD">
      <w:pPr>
        <w:keepNext w:val="0"/>
        <w:keepLines w:val="0"/>
        <w:widowControl/>
        <w:suppressLineNumbers w:val="0"/>
        <w:ind w:firstLine="643"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大力开展城乡环境整治。</w:t>
      </w:r>
      <w:r>
        <w:rPr>
          <w:rFonts w:hint="eastAsia" w:ascii="仿宋_GB2312" w:hAnsi="仿宋_GB2312" w:eastAsia="仿宋_GB2312" w:cs="仿宋_GB2312"/>
          <w:b w:val="0"/>
          <w:bCs w:val="0"/>
          <w:color w:val="auto"/>
          <w:sz w:val="32"/>
          <w:szCs w:val="32"/>
          <w:lang w:val="en-US" w:eastAsia="zh-CN"/>
        </w:rPr>
        <w:t>逐步改善乡村公共环境，全面清理私搭乱建、乱堆乱放、 乱贴乱画、卫生死角，整治残垣断壁、危废建筑，通过集约利用村庄闲置土地等方式扩大村庄公共空间。加强农村电力线、通信线、广播电视线“三线”维护梳理工作。深入实施乡村绿化美化行动，开展绿美乡村建设，突出保护乡村山体田园、河湖湿地、原生植被、古树名木等，因地制宜开展荒山、荒地绿化，加强农田、防护林的建设和修复。加强乡村风貌引导，控制新建农房体量和风貌，已有农房要结合质量安全改造实施风貌提升。严格保护传统建筑并加以修缮，重点整治老旧小区、背街小巷、农贸市场、“城中村”、城乡结合部、建筑工地及主次干道、河道等沿线的环境卫生，解决建筑和生活垃圾乱倒、卫生死角、白色污染、扬尘噪声、黑臭异味等问题。继续深入开展“厕所革命”，坚持公厕免费对外开放使用，加大对老旧水冲式公厕和旱厕改水厕力度。</w:t>
      </w:r>
    </w:p>
    <w:p w14:paraId="75DB15F3">
      <w:pPr>
        <w:pStyle w:val="3"/>
        <w:numPr>
          <w:ilvl w:val="0"/>
          <w:numId w:val="4"/>
        </w:numPr>
        <w:bidi w:val="0"/>
        <w:rPr>
          <w:rFonts w:hint="eastAsia"/>
          <w:lang w:val="en-US" w:eastAsia="zh-CN"/>
        </w:rPr>
      </w:pPr>
      <w:bookmarkStart w:id="115" w:name="_Toc3915"/>
      <w:bookmarkStart w:id="116" w:name="_Toc20758"/>
      <w:bookmarkStart w:id="117" w:name="OLE_LINK158"/>
      <w:r>
        <w:rPr>
          <w:rFonts w:hint="eastAsia"/>
          <w:lang w:val="en-US" w:eastAsia="zh-CN"/>
        </w:rPr>
        <w:t>提升交通发展水平</w:t>
      </w:r>
      <w:bookmarkEnd w:id="115"/>
      <w:bookmarkEnd w:id="116"/>
      <w:r>
        <w:rPr>
          <w:rFonts w:hint="eastAsia"/>
          <w:lang w:val="en-US" w:eastAsia="zh-CN"/>
        </w:rPr>
        <w:t xml:space="preserve">                                                                                                                                                                                                                                                                                                                                 </w:t>
      </w:r>
    </w:p>
    <w:bookmarkEnd w:id="117"/>
    <w:p w14:paraId="3B818A39">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因地制宜拓展低空经济发展新赛道。低空经济是战略性新兴产业，是新质生产力的代表，是经济增长的新引擎。低空经济产业具有成长性高、产业融合性强、产业链长、应用辐射面广等特点。侯马通用航空机场项目规划占地500亩，估算总投资3.6亿元。</w:t>
      </w:r>
    </w:p>
    <w:p w14:paraId="56643C3B">
      <w:pPr>
        <w:keepNext w:val="0"/>
        <w:keepLines w:val="0"/>
        <w:widowControl/>
        <w:suppressLineNumbers w:val="0"/>
        <w:ind w:firstLine="640" w:firstLineChars="200"/>
        <w:jc w:val="left"/>
        <w:rPr>
          <w:rFonts w:hint="eastAsia" w:ascii="仿宋_GB2312" w:hAnsi="仿宋_GB2312" w:eastAsia="仿宋_GB2312" w:cs="仿宋_GB2312"/>
          <w:b w:val="0"/>
          <w:bCs w:val="0"/>
          <w:color w:val="auto"/>
          <w:sz w:val="32"/>
          <w:szCs w:val="32"/>
          <w:lang w:val="en-US" w:eastAsia="zh-CN"/>
        </w:rPr>
      </w:pPr>
      <w:bookmarkStart w:id="118" w:name="OLE_LINK150"/>
      <w:r>
        <w:rPr>
          <w:rFonts w:hint="eastAsia" w:ascii="仿宋_GB2312" w:hAnsi="仿宋_GB2312" w:eastAsia="仿宋_GB2312" w:cs="仿宋_GB2312"/>
          <w:b w:val="0"/>
          <w:bCs w:val="0"/>
          <w:color w:val="auto"/>
          <w:sz w:val="32"/>
          <w:szCs w:val="32"/>
          <w:lang w:val="en-US" w:eastAsia="zh-CN"/>
        </w:rPr>
        <w:t>优化交通体系。</w:t>
      </w:r>
      <w:bookmarkStart w:id="119" w:name="OLE_LINK217"/>
      <w:r>
        <w:rPr>
          <w:rFonts w:hint="eastAsia" w:ascii="仿宋_GB2312" w:hAnsi="仿宋_GB2312" w:eastAsia="仿宋_GB2312" w:cs="仿宋_GB2312"/>
          <w:b w:val="0"/>
          <w:bCs w:val="0"/>
          <w:color w:val="auto"/>
          <w:sz w:val="32"/>
          <w:szCs w:val="32"/>
          <w:lang w:val="en-US" w:eastAsia="zh-CN"/>
        </w:rPr>
        <w:t>重点完善浍河生态新区、东城片区及香邑、侯北、浍南产业园区的路网体系，优化路网结构，</w:t>
      </w:r>
      <w:bookmarkEnd w:id="118"/>
      <w:bookmarkEnd w:id="119"/>
      <w:r>
        <w:rPr>
          <w:rFonts w:hint="eastAsia" w:ascii="仿宋_GB2312" w:hAnsi="仿宋_GB2312" w:eastAsia="仿宋_GB2312" w:cs="仿宋_GB2312"/>
          <w:b w:val="0"/>
          <w:bCs w:val="0"/>
          <w:color w:val="auto"/>
          <w:sz w:val="32"/>
          <w:szCs w:val="32"/>
          <w:lang w:val="en-US" w:eastAsia="zh-CN"/>
        </w:rPr>
        <w:t>完善和规范道路标线、标识牌及配套管网建设，优化城镇红绿灯设置，</w:t>
      </w:r>
      <w:bookmarkStart w:id="120" w:name="OLE_LINK154"/>
      <w:r>
        <w:rPr>
          <w:rFonts w:hint="eastAsia" w:ascii="仿宋_GB2312" w:hAnsi="仿宋_GB2312" w:eastAsia="仿宋_GB2312" w:cs="仿宋_GB2312"/>
          <w:b w:val="0"/>
          <w:bCs w:val="0"/>
          <w:color w:val="auto"/>
          <w:sz w:val="32"/>
          <w:szCs w:val="32"/>
          <w:lang w:val="en-US" w:eastAsia="zh-CN"/>
        </w:rPr>
        <w:t>升级城镇道路网络密度和连通性、可达性，分担干道压力。</w:t>
      </w:r>
      <w:bookmarkEnd w:id="120"/>
      <w:r>
        <w:rPr>
          <w:rFonts w:hint="eastAsia" w:ascii="仿宋_GB2312" w:hAnsi="仿宋_GB2312" w:eastAsia="仿宋_GB2312" w:cs="仿宋_GB2312"/>
          <w:b w:val="0"/>
          <w:bCs w:val="0"/>
          <w:color w:val="auto"/>
          <w:sz w:val="32"/>
          <w:szCs w:val="32"/>
          <w:lang w:val="en-US" w:eastAsia="zh-CN"/>
        </w:rPr>
        <w:t>加快推进</w:t>
      </w:r>
      <w:r>
        <w:rPr>
          <w:rFonts w:hint="eastAsia" w:ascii="Times New Roman" w:hAnsi="Times New Roman" w:eastAsia="仿宋_GB2312" w:cs="Times New Roman"/>
          <w:kern w:val="2"/>
          <w:sz w:val="32"/>
          <w:szCs w:val="32"/>
          <w:lang w:val="en-US" w:eastAsia="zh-CN" w:bidi="ar-SA"/>
        </w:rPr>
        <w:t>程东街、</w:t>
      </w:r>
      <w:r>
        <w:rPr>
          <w:rFonts w:hint="eastAsia" w:ascii="仿宋_GB2312" w:hAnsi="仿宋_GB2312" w:eastAsia="仿宋_GB2312" w:cs="仿宋_GB2312"/>
          <w:b w:val="0"/>
          <w:bCs w:val="0"/>
          <w:color w:val="auto"/>
          <w:sz w:val="32"/>
          <w:szCs w:val="32"/>
          <w:lang w:val="en-US" w:eastAsia="zh-CN"/>
        </w:rPr>
        <w:t>学府路、</w:t>
      </w:r>
      <w:r>
        <w:rPr>
          <w:rFonts w:hint="eastAsia" w:ascii="Times New Roman" w:hAnsi="Times New Roman" w:eastAsia="仿宋_GB2312" w:cs="Times New Roman"/>
          <w:kern w:val="2"/>
          <w:sz w:val="32"/>
          <w:szCs w:val="32"/>
          <w:lang w:val="en-US" w:eastAsia="zh-CN" w:bidi="ar-SA"/>
        </w:rPr>
        <w:t>育德路、纬一路、</w:t>
      </w:r>
      <w:r>
        <w:rPr>
          <w:rFonts w:hint="eastAsia" w:ascii="仿宋_GB2312" w:hAnsi="仿宋_GB2312" w:eastAsia="仿宋_GB2312" w:cs="仿宋_GB2312"/>
          <w:b w:val="0"/>
          <w:bCs w:val="0"/>
          <w:color w:val="auto"/>
          <w:sz w:val="32"/>
          <w:szCs w:val="32"/>
          <w:lang w:val="en-US" w:eastAsia="zh-CN"/>
        </w:rPr>
        <w:t>合欢街南延等项目</w:t>
      </w:r>
      <w:bookmarkStart w:id="121" w:name="OLE_LINK218"/>
      <w:r>
        <w:rPr>
          <w:rFonts w:hint="eastAsia" w:ascii="仿宋_GB2312" w:hAnsi="仿宋_GB2312" w:eastAsia="仿宋_GB2312" w:cs="仿宋_GB2312"/>
          <w:b w:val="0"/>
          <w:bCs w:val="0"/>
          <w:color w:val="auto"/>
          <w:sz w:val="32"/>
          <w:szCs w:val="32"/>
          <w:lang w:val="en-US" w:eastAsia="zh-CN"/>
        </w:rPr>
        <w:t>，投资新建2025年</w:t>
      </w:r>
      <w:bookmarkStart w:id="122" w:name="OLE_LINK155"/>
      <w:r>
        <w:rPr>
          <w:rFonts w:hint="eastAsia" w:ascii="仿宋_GB2312" w:hAnsi="仿宋_GB2312" w:eastAsia="仿宋_GB2312" w:cs="仿宋_GB2312"/>
          <w:b w:val="0"/>
          <w:bCs w:val="0"/>
          <w:color w:val="auto"/>
          <w:sz w:val="32"/>
          <w:szCs w:val="32"/>
          <w:lang w:val="en-US" w:eastAsia="zh-CN"/>
        </w:rPr>
        <w:t>“四好农村路”建设项目</w:t>
      </w:r>
      <w:bookmarkEnd w:id="122"/>
      <w:r>
        <w:rPr>
          <w:rFonts w:hint="eastAsia" w:ascii="仿宋_GB2312" w:hAnsi="仿宋_GB2312" w:eastAsia="仿宋_GB2312" w:cs="仿宋_GB2312"/>
          <w:b w:val="0"/>
          <w:bCs w:val="0"/>
          <w:color w:val="auto"/>
          <w:sz w:val="32"/>
          <w:szCs w:val="32"/>
          <w:lang w:val="en-US" w:eastAsia="zh-CN"/>
        </w:rPr>
        <w:t>。</w:t>
      </w:r>
      <w:bookmarkEnd w:id="121"/>
      <w:r>
        <w:rPr>
          <w:rFonts w:hint="eastAsia" w:ascii="仿宋_GB2312" w:hAnsi="仿宋_GB2312" w:eastAsia="仿宋_GB2312" w:cs="仿宋_GB2312"/>
          <w:b w:val="0"/>
          <w:bCs w:val="0"/>
          <w:color w:val="auto"/>
          <w:sz w:val="32"/>
          <w:szCs w:val="32"/>
          <w:lang w:val="en-US" w:eastAsia="zh-CN"/>
        </w:rPr>
        <w:t>提倡绿色出行，坚持公交先行，在有条件推行共享自行车、共享电动车、共享汽车等服务，加强各类道路、各路段监控设施配置，完善道路监控系统。</w:t>
      </w:r>
    </w:p>
    <w:p w14:paraId="1414632F">
      <w:pPr>
        <w:keepNext w:val="0"/>
        <w:keepLines w:val="0"/>
        <w:widowControl/>
        <w:suppressLineNumbers w:val="0"/>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完善停车设施保障。励社会资本参与停车场建设、运营和管理，在充分论证的基础上适当在较宽城镇道路或小区道路两侧或单侧设置临时收费停车位，鼓励将城镇空置的建设用地及部分单位空余停车位在节假日作为对外临时停车场，缓解停车难问题。新建商业楼（场）、宾馆（饭店）、办公楼、住宅小区按规范标准配足停车位。建设以配建停车场为主、路外公共停车场为辅、路内停车为补充的停车系统。逐步完善老旧停车场充电桩、智能车闸配置，鼓励新建停车场标准化配置充电桩、智能车闸。</w:t>
      </w:r>
    </w:p>
    <w:p w14:paraId="19FB95B6">
      <w:pPr>
        <w:pStyle w:val="3"/>
        <w:numPr>
          <w:ilvl w:val="0"/>
          <w:numId w:val="4"/>
        </w:numPr>
        <w:bidi w:val="0"/>
        <w:rPr>
          <w:rFonts w:hint="default"/>
          <w:lang w:val="en-US" w:eastAsia="zh-CN"/>
        </w:rPr>
      </w:pPr>
      <w:bookmarkStart w:id="123" w:name="_Toc11310"/>
      <w:bookmarkStart w:id="124" w:name="_Toc24685"/>
      <w:bookmarkStart w:id="125" w:name="OLE_LINK159"/>
      <w:r>
        <w:rPr>
          <w:rFonts w:hint="eastAsia"/>
          <w:lang w:val="en-US" w:eastAsia="zh-CN"/>
        </w:rPr>
        <w:t>优化公共服务供给</w:t>
      </w:r>
      <w:bookmarkEnd w:id="123"/>
      <w:bookmarkEnd w:id="124"/>
    </w:p>
    <w:bookmarkEnd w:id="125"/>
    <w:p w14:paraId="3B63A993">
      <w:pPr>
        <w:keepNext w:val="0"/>
        <w:keepLines w:val="0"/>
        <w:widowControl/>
        <w:suppressLineNumbers w:val="0"/>
        <w:ind w:firstLine="643" w:firstLineChars="200"/>
        <w:jc w:val="left"/>
        <w:rPr>
          <w:rFonts w:hint="eastAsia" w:ascii="仿宋_GB2312" w:hAnsi="仿宋_GB2312" w:eastAsia="仿宋_GB2312" w:cs="仿宋_GB2312"/>
          <w:b w:val="0"/>
          <w:bCs w:val="0"/>
          <w:color w:val="auto"/>
          <w:sz w:val="32"/>
          <w:szCs w:val="32"/>
          <w:highlight w:val="none"/>
          <w:lang w:val="en-US" w:eastAsia="zh-CN"/>
        </w:rPr>
      </w:pPr>
      <w:bookmarkStart w:id="126" w:name="OLE_LINK160"/>
      <w:r>
        <w:rPr>
          <w:rFonts w:hint="eastAsia" w:ascii="仿宋_GB2312" w:hAnsi="仿宋_GB2312" w:eastAsia="仿宋_GB2312" w:cs="仿宋_GB2312"/>
          <w:b/>
          <w:bCs/>
          <w:color w:val="auto"/>
          <w:sz w:val="32"/>
          <w:szCs w:val="32"/>
          <w:lang w:val="en-US" w:eastAsia="zh-CN"/>
        </w:rPr>
        <w:t>优质优效推进教育事业发展。</w:t>
      </w:r>
      <w:bookmarkEnd w:id="126"/>
      <w:bookmarkStart w:id="127" w:name="OLE_LINK221"/>
      <w:bookmarkStart w:id="128" w:name="OLE_LINK220"/>
      <w:r>
        <w:rPr>
          <w:rFonts w:hint="eastAsia" w:ascii="仿宋_GB2312" w:hAnsi="仿宋_GB2312" w:eastAsia="仿宋_GB2312" w:cs="仿宋_GB2312"/>
          <w:b w:val="0"/>
          <w:bCs w:val="0"/>
          <w:color w:val="auto"/>
          <w:sz w:val="32"/>
          <w:szCs w:val="32"/>
          <w:lang w:val="en-US" w:eastAsia="zh-CN"/>
        </w:rPr>
        <w:t>围绕办好人民满意教育的奋斗目标，中心城区以“五分钟生活圈”为基本单元配建学前教育设施，</w:t>
      </w:r>
      <w:bookmarkEnd w:id="127"/>
      <w:r>
        <w:rPr>
          <w:rFonts w:hint="eastAsia" w:ascii="仿宋_GB2312" w:hAnsi="仿宋_GB2312" w:eastAsia="仿宋_GB2312" w:cs="仿宋_GB2312"/>
          <w:b w:val="0"/>
          <w:bCs w:val="0"/>
          <w:color w:val="auto"/>
          <w:sz w:val="32"/>
          <w:szCs w:val="32"/>
          <w:lang w:val="en-US" w:eastAsia="zh-CN"/>
        </w:rPr>
        <w:t>确保适龄儿童相对就近入园。</w:t>
      </w:r>
      <w:bookmarkEnd w:id="128"/>
      <w:r>
        <w:rPr>
          <w:rFonts w:hint="eastAsia" w:ascii="仿宋_GB2312" w:hAnsi="仿宋_GB2312" w:eastAsia="仿宋_GB2312" w:cs="仿宋_GB2312"/>
          <w:b w:val="0"/>
          <w:bCs w:val="0"/>
          <w:color w:val="auto"/>
          <w:sz w:val="32"/>
          <w:szCs w:val="32"/>
          <w:lang w:val="en-US" w:eastAsia="zh-CN"/>
        </w:rPr>
        <w:t>中心城区以“十分钟生活圈” 为基本单元配建小学、以“十五分钟生活圈”为基本单元配建初中，统筹普高职高发展。优化高中阶段教育资源配置，整合现有职业中学资源，完善特殊教育体系</w:t>
      </w:r>
      <w:r>
        <w:rPr>
          <w:rFonts w:hint="eastAsia" w:ascii="仿宋_GB2312" w:hAnsi="仿宋_GB2312" w:eastAsia="仿宋_GB2312" w:cs="仿宋_GB2312"/>
          <w:b w:val="0"/>
          <w:bCs w:val="0"/>
          <w:color w:val="auto"/>
          <w:sz w:val="32"/>
          <w:szCs w:val="32"/>
          <w:highlight w:val="none"/>
          <w:lang w:val="en-US" w:eastAsia="zh-CN"/>
        </w:rPr>
        <w:t xml:space="preserve">。 </w:t>
      </w:r>
    </w:p>
    <w:p w14:paraId="0D3E8D33">
      <w:pPr>
        <w:keepNext w:val="0"/>
        <w:keepLines w:val="0"/>
        <w:widowControl/>
        <w:suppressLineNumbers w:val="0"/>
        <w:ind w:firstLine="643" w:firstLineChars="200"/>
        <w:jc w:val="left"/>
        <w:rPr>
          <w:rFonts w:hint="eastAsia" w:ascii="仿宋_GB2312" w:hAnsi="仿宋_GB2312" w:eastAsia="仿宋_GB2312" w:cs="仿宋_GB2312"/>
          <w:b w:val="0"/>
          <w:bCs w:val="0"/>
          <w:color w:val="auto"/>
          <w:sz w:val="32"/>
          <w:szCs w:val="32"/>
          <w:highlight w:val="none"/>
          <w:lang w:val="en-US" w:eastAsia="zh-CN"/>
        </w:rPr>
      </w:pPr>
      <w:bookmarkStart w:id="129" w:name="OLE_LINK161"/>
      <w:r>
        <w:rPr>
          <w:rFonts w:hint="eastAsia" w:ascii="仿宋_GB2312" w:hAnsi="仿宋_GB2312" w:eastAsia="仿宋_GB2312" w:cs="仿宋_GB2312"/>
          <w:b/>
          <w:bCs/>
          <w:color w:val="auto"/>
          <w:sz w:val="32"/>
          <w:szCs w:val="32"/>
          <w:highlight w:val="none"/>
          <w:lang w:val="en-US" w:eastAsia="zh-CN"/>
        </w:rPr>
        <w:t>健全医疗卫生服务体系。</w:t>
      </w:r>
      <w:bookmarkEnd w:id="129"/>
      <w:r>
        <w:rPr>
          <w:rFonts w:hint="eastAsia" w:ascii="仿宋_GB2312" w:hAnsi="仿宋_GB2312" w:eastAsia="仿宋_GB2312" w:cs="仿宋_GB2312"/>
          <w:b w:val="0"/>
          <w:bCs w:val="0"/>
          <w:color w:val="auto"/>
          <w:sz w:val="32"/>
          <w:szCs w:val="32"/>
          <w:highlight w:val="none"/>
          <w:lang w:val="en-US" w:eastAsia="zh-CN"/>
        </w:rPr>
        <w:t>建</w:t>
      </w:r>
      <w:r>
        <w:rPr>
          <w:rFonts w:hint="eastAsia" w:ascii="仿宋_GB2312" w:hAnsi="仿宋_GB2312" w:eastAsia="仿宋_GB2312" w:cs="仿宋_GB2312"/>
          <w:b w:val="0"/>
          <w:bCs w:val="0"/>
          <w:color w:val="auto"/>
          <w:sz w:val="32"/>
          <w:szCs w:val="32"/>
          <w:lang w:val="en-US" w:eastAsia="zh-CN"/>
        </w:rPr>
        <w:t>立覆盖全域的医疗服务网络，将侯马市打造为区域医疗服务中心。提升现有市级医疗卫生设施、社区卫生服务中心的服务能力，原则上每个街道或每3-10万人设置1所社区卫生服务中心，原则上每个乡配置1所乡镇卫生院，每个行政村均应建设1个村卫生室。</w:t>
      </w:r>
      <w:r>
        <w:rPr>
          <w:rFonts w:hint="eastAsia" w:ascii="仿宋_GB2312" w:hAnsi="仿宋_GB2312" w:eastAsia="仿宋_GB2312" w:cs="仿宋_GB2312"/>
          <w:b w:val="0"/>
          <w:bCs w:val="0"/>
          <w:color w:val="auto"/>
          <w:sz w:val="32"/>
          <w:szCs w:val="32"/>
          <w:highlight w:val="none"/>
          <w:lang w:val="en-US" w:eastAsia="zh-CN"/>
        </w:rPr>
        <w:t>全面提升群众健康素养水平，积极推进“健康大脑+智慧医疗”建设，率先推进健康跨场景应用，建立覆盖群众生命全周期的主动服务体系，催生健康新产业、新业态、新模式。</w:t>
      </w:r>
    </w:p>
    <w:p w14:paraId="26E91522">
      <w:pPr>
        <w:keepNext w:val="0"/>
        <w:keepLines w:val="0"/>
        <w:widowControl/>
        <w:suppressLineNumbers w:val="0"/>
        <w:ind w:firstLine="643" w:firstLineChars="200"/>
        <w:jc w:val="left"/>
        <w:rPr>
          <w:rFonts w:hint="eastAsia" w:ascii="仿宋_GB2312" w:hAnsi="仿宋_GB2312" w:eastAsia="仿宋_GB2312" w:cs="仿宋_GB2312"/>
          <w:b w:val="0"/>
          <w:bCs w:val="0"/>
          <w:color w:val="auto"/>
          <w:sz w:val="32"/>
          <w:szCs w:val="32"/>
          <w:highlight w:val="none"/>
          <w:lang w:val="en-US" w:eastAsia="zh-CN"/>
        </w:rPr>
      </w:pPr>
      <w:bookmarkStart w:id="130" w:name="OLE_LINK162"/>
      <w:bookmarkStart w:id="131" w:name="OLE_LINK222"/>
      <w:r>
        <w:rPr>
          <w:rFonts w:hint="eastAsia" w:ascii="仿宋_GB2312" w:hAnsi="仿宋_GB2312" w:eastAsia="仿宋_GB2312" w:cs="仿宋_GB2312"/>
          <w:b/>
          <w:bCs/>
          <w:color w:val="auto"/>
          <w:sz w:val="32"/>
          <w:szCs w:val="32"/>
          <w:highlight w:val="none"/>
          <w:lang w:val="en-US" w:eastAsia="zh-CN"/>
        </w:rPr>
        <w:t>不断完善社会保障体系。</w:t>
      </w:r>
      <w:bookmarkEnd w:id="130"/>
      <w:r>
        <w:rPr>
          <w:rFonts w:hint="eastAsia" w:ascii="仿宋_GB2312" w:hAnsi="仿宋_GB2312" w:eastAsia="仿宋_GB2312" w:cs="仿宋_GB2312"/>
          <w:b w:val="0"/>
          <w:bCs w:val="0"/>
          <w:color w:val="auto"/>
          <w:sz w:val="32"/>
          <w:szCs w:val="32"/>
          <w:highlight w:val="none"/>
          <w:lang w:val="en-US" w:eastAsia="zh-CN"/>
        </w:rPr>
        <w:t>健全覆盖全民、统筹城乡、公平统一、安全规范、可持续的多层次社会保障体系，分层分类落实兜底保障措施。</w:t>
      </w:r>
      <w:bookmarkEnd w:id="131"/>
      <w:r>
        <w:rPr>
          <w:rFonts w:hint="eastAsia" w:ascii="仿宋_GB2312" w:hAnsi="仿宋_GB2312" w:eastAsia="仿宋_GB2312" w:cs="仿宋_GB2312"/>
          <w:b w:val="0"/>
          <w:bCs w:val="0"/>
          <w:color w:val="auto"/>
          <w:sz w:val="32"/>
          <w:szCs w:val="32"/>
          <w:highlight w:val="none"/>
          <w:lang w:val="en-US" w:eastAsia="zh-CN"/>
        </w:rPr>
        <w:t>实施更加积极的就业政策，做好高校毕业生、农民工、城镇困难人员等重点人群就业创业工作，健全覆盖城乡的就业创业服务体系，充分发挥开发区作用，搭建更多就业创业机会。建设公益性零工市场，为用工主体和零工人员搭建供需对接平台。</w:t>
      </w:r>
    </w:p>
    <w:p w14:paraId="38DA55BA">
      <w:pPr>
        <w:keepNext w:val="0"/>
        <w:keepLines w:val="0"/>
        <w:widowControl/>
        <w:suppressLineNumbers w:val="0"/>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积极推进公共就业服务，探索建立退役军人创业就业孵化基地和退役军人服务基地，实施全民参保计划，加快完善城乡住房保障、医疗保险、医疗救助、居家养老等制度体系，不断增强社会保障制度的公平性和可持续性。实施更加积极的就业政策，抓好高校毕业生、退役军人、残疾人等重点人群就业创业服务，加强创业服务体系和创业孵化基地建设，积极鼓励“大学生创业”“返乡创业”“外来创业”和“扩张创业”。</w:t>
      </w:r>
    </w:p>
    <w:p w14:paraId="3252DF8C">
      <w:pPr>
        <w:keepNext w:val="0"/>
        <w:keepLines w:val="0"/>
        <w:widowControl/>
        <w:suppressLineNumbers w:val="0"/>
        <w:ind w:firstLine="643" w:firstLineChars="200"/>
        <w:jc w:val="left"/>
        <w:rPr>
          <w:rFonts w:hint="eastAsia" w:ascii="仿宋_GB2312" w:hAnsi="仿宋_GB2312" w:eastAsia="仿宋_GB2312" w:cs="仿宋_GB2312"/>
          <w:b w:val="0"/>
          <w:bCs w:val="0"/>
          <w:color w:val="auto"/>
          <w:sz w:val="32"/>
          <w:szCs w:val="32"/>
          <w:highlight w:val="none"/>
          <w:lang w:val="en-US" w:eastAsia="zh-CN"/>
        </w:rPr>
      </w:pPr>
      <w:bookmarkStart w:id="132" w:name="OLE_LINK163"/>
      <w:bookmarkStart w:id="133" w:name="OLE_LINK223"/>
      <w:r>
        <w:rPr>
          <w:rFonts w:hint="eastAsia" w:ascii="仿宋_GB2312" w:hAnsi="仿宋_GB2312" w:eastAsia="仿宋_GB2312" w:cs="仿宋_GB2312"/>
          <w:b/>
          <w:bCs/>
          <w:color w:val="auto"/>
          <w:sz w:val="32"/>
          <w:szCs w:val="32"/>
          <w:highlight w:val="none"/>
          <w:lang w:val="en-US" w:eastAsia="zh-CN"/>
        </w:rPr>
        <w:t>健全现代公共文化服务体系。</w:t>
      </w:r>
      <w:bookmarkEnd w:id="132"/>
      <w:r>
        <w:rPr>
          <w:rFonts w:hint="eastAsia" w:ascii="仿宋_GB2312" w:hAnsi="仿宋_GB2312" w:eastAsia="仿宋_GB2312" w:cs="仿宋_GB2312"/>
          <w:b w:val="0"/>
          <w:bCs w:val="0"/>
          <w:color w:val="auto"/>
          <w:sz w:val="32"/>
          <w:szCs w:val="32"/>
          <w:highlight w:val="none"/>
          <w:lang w:val="en-US" w:eastAsia="zh-CN"/>
        </w:rPr>
        <w:t>完善公共文化设施</w:t>
      </w:r>
      <w:r>
        <w:rPr>
          <w:rFonts w:hint="eastAsia" w:ascii="仿宋_GB2312" w:hAnsi="仿宋_GB2312" w:eastAsia="仿宋_GB2312" w:cs="仿宋_GB2312"/>
          <w:color w:val="000000"/>
          <w:kern w:val="0"/>
          <w:sz w:val="32"/>
          <w:szCs w:val="32"/>
          <w:highlight w:val="none"/>
          <w:lang w:val="en-US" w:eastAsia="zh-CN" w:bidi="ar"/>
        </w:rPr>
        <w:t>建立市级、乡级和村级三个层次的文化设施。中心城区内重点提升现有文化设施配置标准和服务能力，加强市级文化设施建设，</w:t>
      </w:r>
      <w:bookmarkEnd w:id="133"/>
      <w:r>
        <w:rPr>
          <w:rFonts w:hint="eastAsia" w:ascii="仿宋_GB2312" w:hAnsi="仿宋_GB2312" w:eastAsia="仿宋_GB2312" w:cs="仿宋_GB2312"/>
          <w:color w:val="000000"/>
          <w:kern w:val="0"/>
          <w:sz w:val="32"/>
          <w:szCs w:val="32"/>
          <w:highlight w:val="none"/>
          <w:lang w:val="en-US" w:eastAsia="zh-CN" w:bidi="ar"/>
        </w:rPr>
        <w:t>包括公共图书馆、文化馆、青少年宫等设施。</w:t>
      </w:r>
      <w:bookmarkStart w:id="134" w:name="OLE_LINK224"/>
      <w:r>
        <w:rPr>
          <w:rFonts w:hint="eastAsia" w:ascii="仿宋_GB2312" w:hAnsi="仿宋_GB2312" w:eastAsia="仿宋_GB2312" w:cs="仿宋_GB2312"/>
          <w:color w:val="000000"/>
          <w:kern w:val="0"/>
          <w:sz w:val="32"/>
          <w:szCs w:val="32"/>
          <w:highlight w:val="none"/>
          <w:lang w:val="en-US" w:eastAsia="zh-CN" w:bidi="ar"/>
        </w:rPr>
        <w:t>在每个乡建设1处综合文体活动中心，每个行政村均配建1处文化活动室。</w:t>
      </w:r>
      <w:r>
        <w:rPr>
          <w:rFonts w:hint="eastAsia" w:ascii="仿宋_GB2312" w:hAnsi="仿宋_GB2312" w:eastAsia="仿宋_GB2312" w:cs="仿宋_GB2312"/>
          <w:b w:val="0"/>
          <w:bCs w:val="0"/>
          <w:color w:val="auto"/>
          <w:sz w:val="32"/>
          <w:szCs w:val="32"/>
          <w:highlight w:val="none"/>
          <w:lang w:val="en-US" w:eastAsia="zh-CN"/>
        </w:rPr>
        <w:t>积极探索云直播、云展览、云讲座、云阅读、云培训、云推广等线上服务。</w:t>
      </w:r>
      <w:bookmarkEnd w:id="134"/>
      <w:r>
        <w:rPr>
          <w:rFonts w:hint="eastAsia" w:ascii="仿宋_GB2312" w:hAnsi="仿宋_GB2312" w:eastAsia="仿宋_GB2312" w:cs="仿宋_GB2312"/>
          <w:b w:val="0"/>
          <w:bCs w:val="0"/>
          <w:color w:val="auto"/>
          <w:sz w:val="32"/>
          <w:szCs w:val="32"/>
          <w:highlight w:val="none"/>
          <w:lang w:val="en-US" w:eastAsia="zh-CN"/>
        </w:rPr>
        <w:t xml:space="preserve">提高公共文化服务时效，推动基层综合性文化服务中心结合农时开展错时服务，资源的统筹利用。 </w:t>
      </w:r>
    </w:p>
    <w:p w14:paraId="4F367586">
      <w:pPr>
        <w:keepNext w:val="0"/>
        <w:keepLines w:val="0"/>
        <w:widowControl/>
        <w:suppressLineNumbers w:val="0"/>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推进文化惠民便民服务。全力打通市域公共文化服务供给与群众文化需求的“最后一公里”，不断完善公共图书、公益电影、公益演出、文化活动等线下线上一体化配送服务。加大体育基础设施建设，提升全民健身环境，全面推进服务 设施建设，满足日益增长的文体旅服务需求。</w:t>
      </w:r>
    </w:p>
    <w:p w14:paraId="461CB5D7">
      <w:pPr>
        <w:pStyle w:val="2"/>
        <w:numPr>
          <w:ilvl w:val="0"/>
          <w:numId w:val="0"/>
        </w:numPr>
        <w:bidi w:val="0"/>
        <w:rPr>
          <w:rFonts w:hint="eastAsia"/>
          <w:lang w:val="en-US" w:eastAsia="zh-CN"/>
        </w:rPr>
      </w:pPr>
      <w:bookmarkStart w:id="135" w:name="_Toc12958"/>
      <w:r>
        <w:rPr>
          <w:rFonts w:hint="eastAsia"/>
          <w:lang w:val="en-US" w:eastAsia="zh-CN"/>
        </w:rPr>
        <w:t xml:space="preserve">第六章 </w:t>
      </w:r>
      <w:bookmarkStart w:id="136" w:name="_Toc7366"/>
      <w:bookmarkStart w:id="137" w:name="OLE_LINK168"/>
      <w:r>
        <w:rPr>
          <w:rFonts w:hint="eastAsia"/>
          <w:lang w:val="en-US" w:eastAsia="zh-CN"/>
        </w:rPr>
        <w:t>城乡融合一体化发展</w:t>
      </w:r>
      <w:bookmarkEnd w:id="135"/>
      <w:bookmarkEnd w:id="136"/>
    </w:p>
    <w:bookmarkEnd w:id="137"/>
    <w:p w14:paraId="52CDC2A4">
      <w:pPr>
        <w:pStyle w:val="3"/>
        <w:numPr>
          <w:ilvl w:val="0"/>
          <w:numId w:val="5"/>
        </w:numPr>
        <w:bidi w:val="0"/>
        <w:rPr>
          <w:rFonts w:hint="eastAsia"/>
          <w:lang w:val="en-US" w:eastAsia="zh-CN"/>
        </w:rPr>
      </w:pPr>
      <w:bookmarkStart w:id="138" w:name="_Toc23282"/>
      <w:bookmarkStart w:id="139" w:name="_Toc10387"/>
      <w:bookmarkStart w:id="140" w:name="OLE_LINK169"/>
      <w:r>
        <w:rPr>
          <w:rFonts w:hint="eastAsia"/>
          <w:lang w:val="en-US" w:eastAsia="zh-CN"/>
        </w:rPr>
        <w:t>统筹城乡顶层设计</w:t>
      </w:r>
      <w:bookmarkEnd w:id="138"/>
      <w:bookmarkEnd w:id="139"/>
      <w:r>
        <w:rPr>
          <w:rFonts w:hint="eastAsia"/>
          <w:lang w:val="en-US" w:eastAsia="zh-CN"/>
        </w:rPr>
        <w:t xml:space="preserve"> </w:t>
      </w:r>
    </w:p>
    <w:p w14:paraId="48F0656B">
      <w:pPr>
        <w:keepNext w:val="0"/>
        <w:keepLines w:val="0"/>
        <w:widowControl/>
        <w:suppressLineNumbers w:val="0"/>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围绕“一屏两廊两区”“一核双轴四组团”</w:t>
      </w:r>
      <w:r>
        <w:rPr>
          <w:rFonts w:hint="default" w:ascii="仿宋_GB2312" w:hAnsi="仿宋_GB2312" w:eastAsia="仿宋_GB2312" w:cs="仿宋_GB2312"/>
          <w:b w:val="0"/>
          <w:bCs w:val="0"/>
          <w:color w:val="auto"/>
          <w:sz w:val="32"/>
          <w:szCs w:val="32"/>
          <w:highlight w:val="none"/>
          <w:lang w:val="en-US" w:eastAsia="zh-CN"/>
        </w:rPr>
        <w:t>的</w:t>
      </w:r>
      <w:r>
        <w:rPr>
          <w:rFonts w:hint="eastAsia" w:ascii="仿宋_GB2312" w:hAnsi="仿宋_GB2312" w:eastAsia="仿宋_GB2312" w:cs="仿宋_GB2312"/>
          <w:b w:val="0"/>
          <w:bCs w:val="0"/>
          <w:color w:val="auto"/>
          <w:sz w:val="32"/>
          <w:szCs w:val="32"/>
          <w:highlight w:val="none"/>
          <w:lang w:val="en-US" w:eastAsia="zh-CN"/>
        </w:rPr>
        <w:t>国土空间保护与开发总体格局。加强科学规划，优化发展空间；</w:t>
      </w:r>
      <w:bookmarkEnd w:id="140"/>
      <w:r>
        <w:rPr>
          <w:rFonts w:hint="eastAsia" w:ascii="仿宋_GB2312" w:hAnsi="仿宋_GB2312" w:eastAsia="仿宋_GB2312" w:cs="仿宋_GB2312"/>
          <w:b w:val="0"/>
          <w:bCs w:val="0"/>
          <w:color w:val="auto"/>
          <w:sz w:val="32"/>
          <w:szCs w:val="32"/>
          <w:highlight w:val="none"/>
          <w:lang w:val="en-US" w:eastAsia="zh-CN"/>
        </w:rPr>
        <w:t>构建合理城镇体系，确定各乡镇发展特色及目标；大力导入城市资源，</w:t>
      </w:r>
      <w:bookmarkStart w:id="141" w:name="OLE_LINK170"/>
      <w:r>
        <w:rPr>
          <w:rFonts w:hint="eastAsia" w:ascii="仿宋_GB2312" w:hAnsi="仿宋_GB2312" w:eastAsia="仿宋_GB2312" w:cs="仿宋_GB2312"/>
          <w:b w:val="0"/>
          <w:bCs w:val="0"/>
          <w:color w:val="auto"/>
          <w:sz w:val="32"/>
          <w:szCs w:val="32"/>
          <w:highlight w:val="none"/>
          <w:lang w:val="en-US" w:eastAsia="zh-CN"/>
        </w:rPr>
        <w:t>以</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城</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的资源导入带动</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乡</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的品质提升；加快城乡融合发展，</w:t>
      </w:r>
      <w:bookmarkEnd w:id="141"/>
      <w:r>
        <w:rPr>
          <w:rFonts w:hint="eastAsia" w:ascii="仿宋_GB2312" w:hAnsi="仿宋_GB2312" w:eastAsia="仿宋_GB2312" w:cs="仿宋_GB2312"/>
          <w:b w:val="0"/>
          <w:bCs w:val="0"/>
          <w:color w:val="auto"/>
          <w:sz w:val="32"/>
          <w:szCs w:val="32"/>
          <w:highlight w:val="none"/>
          <w:lang w:val="en-US" w:eastAsia="zh-CN"/>
        </w:rPr>
        <w:t xml:space="preserve"> 推动公共服务向农村延伸、社会事业向农村覆盖，加快推进城乡基本公共服务的标准化、均等化、智慧化。</w:t>
      </w:r>
    </w:p>
    <w:p w14:paraId="1F3D9287">
      <w:pPr>
        <w:pStyle w:val="3"/>
        <w:numPr>
          <w:ilvl w:val="0"/>
          <w:numId w:val="5"/>
        </w:numPr>
        <w:bidi w:val="0"/>
        <w:rPr>
          <w:rFonts w:hint="eastAsia"/>
          <w:lang w:val="en-US" w:eastAsia="zh-CN"/>
        </w:rPr>
      </w:pPr>
      <w:bookmarkStart w:id="142" w:name="_Toc32633"/>
      <w:bookmarkStart w:id="143" w:name="_Toc31129"/>
      <w:bookmarkStart w:id="144" w:name="OLE_LINK171"/>
      <w:r>
        <w:rPr>
          <w:rFonts w:hint="eastAsia"/>
          <w:lang w:val="en-US" w:eastAsia="zh-CN"/>
        </w:rPr>
        <w:t>强化城镇综合赋能</w:t>
      </w:r>
      <w:bookmarkEnd w:id="142"/>
      <w:bookmarkEnd w:id="143"/>
      <w:r>
        <w:rPr>
          <w:rFonts w:hint="eastAsia"/>
          <w:lang w:val="en-US" w:eastAsia="zh-CN"/>
        </w:rPr>
        <w:t xml:space="preserve"> </w:t>
      </w:r>
    </w:p>
    <w:p w14:paraId="238346D7">
      <w:pPr>
        <w:keepNext w:val="0"/>
        <w:keepLines w:val="0"/>
        <w:widowControl/>
        <w:suppressLineNumbers w:val="0"/>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坚持人民城市人民建、人民城市为人民，高效推进城市更新行动，创新产城融合发展模式，更新城镇形态、文态、业态和生态，全面提升城镇发展容量。以数字城市建设为方向，主动适应城镇发展新需求，探索推进新基建，完善充电桩、智慧灯杆、</w:t>
      </w:r>
      <w:r>
        <w:rPr>
          <w:rFonts w:hint="default" w:ascii="仿宋_GB2312" w:hAnsi="仿宋_GB2312" w:eastAsia="仿宋_GB2312" w:cs="仿宋_GB2312"/>
          <w:b w:val="0"/>
          <w:bCs w:val="0"/>
          <w:color w:val="auto"/>
          <w:sz w:val="32"/>
          <w:szCs w:val="32"/>
          <w:highlight w:val="none"/>
          <w:lang w:val="en-US" w:eastAsia="zh-CN"/>
        </w:rPr>
        <w:t xml:space="preserve">5G </w:t>
      </w:r>
      <w:r>
        <w:rPr>
          <w:rFonts w:hint="eastAsia" w:ascii="仿宋_GB2312" w:hAnsi="仿宋_GB2312" w:eastAsia="仿宋_GB2312" w:cs="仿宋_GB2312"/>
          <w:b w:val="0"/>
          <w:bCs w:val="0"/>
          <w:color w:val="auto"/>
          <w:sz w:val="32"/>
          <w:szCs w:val="32"/>
          <w:highlight w:val="none"/>
          <w:lang w:val="en-US" w:eastAsia="zh-CN"/>
        </w:rPr>
        <w:t xml:space="preserve">基站等布局，加快推进“智慧型”城市建设。 </w:t>
      </w:r>
    </w:p>
    <w:bookmarkEnd w:id="144"/>
    <w:p w14:paraId="47D169B0">
      <w:pPr>
        <w:pStyle w:val="3"/>
        <w:numPr>
          <w:ilvl w:val="0"/>
          <w:numId w:val="5"/>
        </w:numPr>
        <w:bidi w:val="0"/>
        <w:rPr>
          <w:rFonts w:hint="eastAsia"/>
          <w:lang w:val="en-US" w:eastAsia="zh-CN"/>
        </w:rPr>
      </w:pPr>
      <w:bookmarkStart w:id="145" w:name="_Toc2733"/>
      <w:bookmarkStart w:id="146" w:name="_Toc16841"/>
      <w:bookmarkStart w:id="147" w:name="OLE_LINK172"/>
      <w:r>
        <w:rPr>
          <w:rFonts w:hint="eastAsia"/>
          <w:lang w:val="en-US" w:eastAsia="zh-CN"/>
        </w:rPr>
        <w:t>夯实城乡发展基础</w:t>
      </w:r>
      <w:bookmarkEnd w:id="145"/>
      <w:bookmarkEnd w:id="146"/>
      <w:r>
        <w:rPr>
          <w:rFonts w:hint="eastAsia"/>
          <w:lang w:val="en-US" w:eastAsia="zh-CN"/>
        </w:rPr>
        <w:t xml:space="preserve"> </w:t>
      </w:r>
    </w:p>
    <w:p w14:paraId="2B5307B3">
      <w:pPr>
        <w:keepNext w:val="0"/>
        <w:keepLines w:val="0"/>
        <w:widowControl/>
        <w:suppressLineNumbers w:val="0"/>
        <w:ind w:firstLine="640" w:firstLineChars="200"/>
        <w:jc w:val="left"/>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坚持把加快重大基础设施建设作为推动城乡统筹的重要着力点，接续实施“花开侯马”三年行动，持续加大基础设施领域补短板力度。建设“四好农村路”，持续巩固推进农村污水处理，现代水网等工程，加快建设龙子祠引水工程，卫家庄联网城乡供水系统工程上半年完工，提升全域供水能力。聚焦“最后一公里”，推动共享电动车市-乡-村全覆盖，力争创</w:t>
      </w:r>
      <w:bookmarkStart w:id="176" w:name="_GoBack"/>
      <w:r>
        <w:rPr>
          <w:rFonts w:hint="eastAsia" w:ascii="仿宋_GB2312" w:hAnsi="仿宋_GB2312" w:eastAsia="仿宋_GB2312" w:cs="仿宋_GB2312"/>
          <w:b w:val="0"/>
          <w:bCs w:val="0"/>
          <w:color w:val="auto"/>
          <w:sz w:val="32"/>
          <w:szCs w:val="32"/>
          <w:highlight w:val="none"/>
          <w:lang w:val="en-US" w:eastAsia="zh-CN"/>
        </w:rPr>
        <w:t>建全</w:t>
      </w:r>
      <w:bookmarkEnd w:id="176"/>
      <w:r>
        <w:rPr>
          <w:rFonts w:hint="eastAsia" w:ascii="仿宋_GB2312" w:hAnsi="仿宋_GB2312" w:eastAsia="仿宋_GB2312" w:cs="仿宋_GB2312"/>
          <w:b w:val="0"/>
          <w:bCs w:val="0"/>
          <w:color w:val="auto"/>
          <w:sz w:val="32"/>
          <w:szCs w:val="32"/>
          <w:highlight w:val="none"/>
          <w:lang w:val="en-US" w:eastAsia="zh-CN"/>
        </w:rPr>
        <w:t>国城乡交通一体化示范县。加快推动环境整治等提升工程，美化优化城乡居住环境，着力补齐城乡发展短板，为城乡注入发展新动能。</w:t>
      </w:r>
      <w:bookmarkEnd w:id="147"/>
      <w:r>
        <w:rPr>
          <w:rFonts w:hint="eastAsia" w:ascii="仿宋_GB2312" w:hAnsi="仿宋_GB2312" w:eastAsia="仿宋_GB2312" w:cs="仿宋_GB2312"/>
          <w:b w:val="0"/>
          <w:bCs w:val="0"/>
          <w:color w:val="auto"/>
          <w:sz w:val="32"/>
          <w:szCs w:val="32"/>
          <w:highlight w:val="none"/>
          <w:lang w:val="en-US" w:eastAsia="zh-CN"/>
        </w:rPr>
        <w:t xml:space="preserve"> </w:t>
      </w:r>
    </w:p>
    <w:p w14:paraId="4ACB9B46"/>
    <w:p w14:paraId="7E1D4A3F">
      <w:pPr>
        <w:rPr>
          <w:rFonts w:hint="eastAsia"/>
          <w:lang w:val="en-US" w:eastAsia="zh-CN"/>
        </w:rPr>
      </w:pPr>
    </w:p>
    <w:p w14:paraId="5411CA53">
      <w:pPr>
        <w:rPr>
          <w:rFonts w:hint="eastAsia"/>
          <w:lang w:val="en-US" w:eastAsia="zh-CN"/>
        </w:rPr>
      </w:pPr>
    </w:p>
    <w:p w14:paraId="4991484A">
      <w:pPr>
        <w:pStyle w:val="2"/>
        <w:numPr>
          <w:ilvl w:val="0"/>
          <w:numId w:val="6"/>
        </w:numPr>
        <w:bidi w:val="0"/>
        <w:rPr>
          <w:rFonts w:hint="eastAsia"/>
          <w:lang w:val="en-US" w:eastAsia="zh-CN"/>
        </w:rPr>
      </w:pPr>
      <w:bookmarkStart w:id="148" w:name="_Toc31648"/>
      <w:r>
        <w:rPr>
          <w:rFonts w:hint="eastAsia"/>
          <w:lang w:val="en-US" w:eastAsia="zh-CN"/>
        </w:rPr>
        <w:t>创新城镇化治理</w:t>
      </w:r>
      <w:bookmarkEnd w:id="148"/>
    </w:p>
    <w:p w14:paraId="055B90B7">
      <w:pPr>
        <w:pStyle w:val="3"/>
        <w:numPr>
          <w:ilvl w:val="0"/>
          <w:numId w:val="7"/>
        </w:numPr>
        <w:bidi w:val="0"/>
        <w:rPr>
          <w:rFonts w:hint="eastAsia"/>
          <w:lang w:val="en-US" w:eastAsia="zh-CN"/>
        </w:rPr>
      </w:pPr>
      <w:bookmarkStart w:id="149" w:name="_Toc2649"/>
      <w:bookmarkStart w:id="150" w:name="OLE_LINK173"/>
      <w:r>
        <w:rPr>
          <w:rFonts w:hint="eastAsia"/>
          <w:lang w:val="en-US" w:eastAsia="zh-CN"/>
        </w:rPr>
        <w:t>持续深化基层治理</w:t>
      </w:r>
      <w:bookmarkEnd w:id="149"/>
      <w:r>
        <w:rPr>
          <w:rFonts w:hint="eastAsia"/>
          <w:lang w:val="en-US" w:eastAsia="zh-CN"/>
        </w:rPr>
        <w:t xml:space="preserve"> </w:t>
      </w:r>
    </w:p>
    <w:bookmarkEnd w:id="150"/>
    <w:p w14:paraId="162B321F">
      <w:pPr>
        <w:keepNext w:val="0"/>
        <w:keepLines w:val="0"/>
        <w:widowControl/>
        <w:suppressLineNumbers w:val="0"/>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创新基层组织治理，以党建引领开创基层治理新格局，让基层党组织说话有底气、服务有能力、治理有方法。创新基层社会治理，常态化推进扫黑除恶专项斗争，注重运用法治思维和法治方式解决影响社会和谐、民族和睦、宗教和顺的突出问题，全面深化</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平安侯马</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法治侯马</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建设。创新经济领域治理，聚焦</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人、财、物、事</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 xml:space="preserve">等关键，形成以人为点、以工作程序为线、以制度为面的风险防控机制。严厉打击破坏营商环境的黑恶势力及其保护伞，严肃查处司法领域违纪违法行为，依法保障市场主体合法权益，积极营造更加公正透明可预期的法治化营商环境。 </w:t>
      </w:r>
    </w:p>
    <w:p w14:paraId="6C8903E3">
      <w:pPr>
        <w:pStyle w:val="3"/>
        <w:numPr>
          <w:ilvl w:val="0"/>
          <w:numId w:val="7"/>
        </w:numPr>
        <w:bidi w:val="0"/>
        <w:rPr>
          <w:rFonts w:hint="eastAsia"/>
          <w:lang w:val="en-US" w:eastAsia="zh-CN"/>
        </w:rPr>
      </w:pPr>
      <w:bookmarkStart w:id="151" w:name="_Toc3876"/>
      <w:bookmarkStart w:id="152" w:name="OLE_LINK174"/>
      <w:r>
        <w:rPr>
          <w:rFonts w:hint="eastAsia"/>
          <w:lang w:val="en-US" w:eastAsia="zh-CN"/>
        </w:rPr>
        <w:t>切实防范重大风险</w:t>
      </w:r>
      <w:bookmarkEnd w:id="151"/>
      <w:r>
        <w:rPr>
          <w:rFonts w:hint="eastAsia"/>
          <w:lang w:val="en-US" w:eastAsia="zh-CN"/>
        </w:rPr>
        <w:t xml:space="preserve"> </w:t>
      </w:r>
    </w:p>
    <w:bookmarkEnd w:id="152"/>
    <w:p w14:paraId="569A82B8">
      <w:pPr>
        <w:keepNext w:val="0"/>
        <w:keepLines w:val="0"/>
        <w:widowControl/>
        <w:suppressLineNumbers w:val="0"/>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坚持人民至上、生命至上，全面强化安全责任、隐患治理、监管执法、预测预警、防灾减灾、应急救援和基础保障体系建设。全力做好防疫、防火、防汛、防灾工作，加强事前预防，抓好隐患大排查，把安全隐患消灭在萌芽状态，做到隐患清零，问题清零。抓细安全生产工作，聚焦常态化排查整治，坚决遏制重特大安全生产事故发生。构建公共卫生防控救治体系，加强疾病预防控制机构能力建设，配足卫生防疫人员数量，开展救治能力提升培训。抓牢森林草原防灭火工作，严管严控野外用火行为，深入开展火灾隐患排查治理，扎实推进防火通道等基础设施建设，严防死守森林草原火灾发生。抓好防汛防灾工作，切实加大地灾综合治理力度，避免人员伤亡、降低灾害损失。</w:t>
      </w:r>
    </w:p>
    <w:p w14:paraId="4F2FF8FB">
      <w:pPr>
        <w:pStyle w:val="3"/>
        <w:numPr>
          <w:ilvl w:val="0"/>
          <w:numId w:val="7"/>
        </w:numPr>
        <w:bidi w:val="0"/>
        <w:rPr>
          <w:rFonts w:hint="eastAsia"/>
          <w:lang w:val="en-US" w:eastAsia="zh-CN"/>
        </w:rPr>
      </w:pPr>
      <w:bookmarkStart w:id="153" w:name="OLE_LINK175"/>
      <w:bookmarkStart w:id="154" w:name="_Toc31951"/>
      <w:r>
        <w:rPr>
          <w:rFonts w:hint="eastAsia"/>
          <w:lang w:val="en-US" w:eastAsia="zh-CN"/>
        </w:rPr>
        <w:t>着力提升政务环境</w:t>
      </w:r>
      <w:bookmarkEnd w:id="153"/>
      <w:bookmarkEnd w:id="154"/>
      <w:r>
        <w:rPr>
          <w:rFonts w:hint="eastAsia"/>
          <w:lang w:val="en-US" w:eastAsia="zh-CN"/>
        </w:rPr>
        <w:t xml:space="preserve"> </w:t>
      </w:r>
    </w:p>
    <w:p w14:paraId="48C0F4B6">
      <w:pPr>
        <w:keepNext w:val="0"/>
        <w:keepLines w:val="0"/>
        <w:widowControl/>
        <w:suppressLineNumbers w:val="0"/>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进一步转变政府职能，优化营商环境，积极打造高效便 捷的政务服务环境，构建规范、透明的政务服务体系。扎实 做好业务培训，着力提高工作人员业务办理能力和办事效率， 不断提升工作人员为民服务本领。持续推进行政审批制度改 革，加快</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放管服</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和</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最多跑一次</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 xml:space="preserve">改革，做到一站式服务、并联式审批、阳光下作业、规范化管理，让数据多跑路、企 业少跑腿。积极提升政务服务的水平和效率，围绕企业和群 众的难点、赌点，精准发力，推进“跨区域通办”“就近办” “掌上办”“帮办代办”等服务把政务服务窗口延伸到企业、商户和群众面前，全面提升政务服务效率。 </w:t>
      </w:r>
    </w:p>
    <w:p w14:paraId="47B56F4A">
      <w:pPr>
        <w:pStyle w:val="3"/>
        <w:numPr>
          <w:ilvl w:val="0"/>
          <w:numId w:val="7"/>
        </w:numPr>
        <w:bidi w:val="0"/>
        <w:rPr>
          <w:rFonts w:hint="eastAsia"/>
          <w:lang w:val="en-US" w:eastAsia="zh-CN"/>
        </w:rPr>
      </w:pPr>
      <w:bookmarkStart w:id="155" w:name="_Toc21212"/>
      <w:bookmarkStart w:id="156" w:name="OLE_LINK176"/>
      <w:r>
        <w:rPr>
          <w:rFonts w:hint="eastAsia"/>
          <w:lang w:val="en-US" w:eastAsia="zh-CN"/>
        </w:rPr>
        <w:t>深入试点智慧城市</w:t>
      </w:r>
      <w:bookmarkEnd w:id="155"/>
      <w:r>
        <w:rPr>
          <w:rFonts w:hint="eastAsia"/>
          <w:lang w:val="en-US" w:eastAsia="zh-CN"/>
        </w:rPr>
        <w:t xml:space="preserve"> </w:t>
      </w:r>
    </w:p>
    <w:bookmarkEnd w:id="156"/>
    <w:p w14:paraId="0657603B">
      <w:pPr>
        <w:keepNext w:val="0"/>
        <w:keepLines w:val="0"/>
        <w:widowControl/>
        <w:suppressLineNumbers w:val="0"/>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以数字大脑为核心，聚焦超融合、超链接、超计算，分年度有序推进“智慧交通”、“智慧监管”“智慧医疗”“社区数字化治理”“智慧农业”“智慧物流”等智慧应用场景建设；以数据集中和共享为途径，推进技术融合、业务融合、 数据融合，不断实现智慧城市“优政、惠民、兴业”目标。 </w:t>
      </w:r>
    </w:p>
    <w:p w14:paraId="4D770B3C">
      <w:pPr>
        <w:pStyle w:val="3"/>
        <w:numPr>
          <w:ilvl w:val="0"/>
          <w:numId w:val="7"/>
        </w:numPr>
        <w:bidi w:val="0"/>
        <w:rPr>
          <w:rFonts w:hint="eastAsia"/>
          <w:lang w:val="en-US" w:eastAsia="zh-CN"/>
        </w:rPr>
      </w:pPr>
      <w:bookmarkStart w:id="157" w:name="_Toc31225"/>
      <w:bookmarkStart w:id="158" w:name="OLE_LINK177"/>
      <w:r>
        <w:rPr>
          <w:rFonts w:hint="eastAsia"/>
          <w:lang w:val="en-US" w:eastAsia="zh-CN"/>
        </w:rPr>
        <w:t>完善新型监管机制</w:t>
      </w:r>
      <w:bookmarkEnd w:id="157"/>
      <w:r>
        <w:rPr>
          <w:rFonts w:hint="eastAsia"/>
          <w:lang w:val="en-US" w:eastAsia="zh-CN"/>
        </w:rPr>
        <w:t xml:space="preserve"> </w:t>
      </w:r>
    </w:p>
    <w:bookmarkEnd w:id="158"/>
    <w:p w14:paraId="4323661B">
      <w:pPr>
        <w:keepNext w:val="0"/>
        <w:keepLines w:val="0"/>
        <w:widowControl/>
        <w:suppressLineNumbers w:val="0"/>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强化服务业领域市场监管综合执法，探索建立跨部门、 跨区域执法联动响应和协作机制。加强服务行业信用监管，健全服务企业信用记录，加快构建跨地区、跨部门、跨领域 的协同监管和联合惩戒机制，推动服务业企业信用信息共享。 </w:t>
      </w:r>
    </w:p>
    <w:p w14:paraId="5587F606">
      <w:pPr>
        <w:keepNext w:val="0"/>
        <w:keepLines w:val="0"/>
        <w:widowControl/>
        <w:suppressLineNumbers w:val="0"/>
        <w:jc w:val="left"/>
        <w:rPr>
          <w:rFonts w:hint="eastAsia"/>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推会共治，建立“数据管理云平台”，强化服务质量社会监督与舆论监督。</w:t>
      </w:r>
    </w:p>
    <w:p w14:paraId="054FF0D7">
      <w:pPr>
        <w:ind w:firstLine="420" w:firstLineChars="200"/>
        <w:rPr>
          <w:rFonts w:hint="default"/>
          <w:lang w:val="en-US" w:eastAsia="zh-CN"/>
        </w:rPr>
      </w:pPr>
    </w:p>
    <w:p w14:paraId="7838CF4C">
      <w:pPr>
        <w:ind w:firstLine="420" w:firstLineChars="200"/>
        <w:rPr>
          <w:rFonts w:hint="default"/>
          <w:lang w:val="en-US" w:eastAsia="zh-CN"/>
        </w:rPr>
      </w:pPr>
    </w:p>
    <w:p w14:paraId="19D15436">
      <w:pPr>
        <w:pStyle w:val="2"/>
        <w:bidi w:val="0"/>
        <w:rPr>
          <w:rFonts w:hint="default"/>
          <w:lang w:val="en-US" w:eastAsia="zh-CN"/>
        </w:rPr>
      </w:pPr>
      <w:bookmarkStart w:id="159" w:name="_Toc13703"/>
      <w:bookmarkStart w:id="160" w:name="OLE_LINK29"/>
      <w:r>
        <w:rPr>
          <w:rFonts w:hint="eastAsia"/>
          <w:lang w:val="en-US" w:eastAsia="zh-CN"/>
        </w:rPr>
        <w:t xml:space="preserve">第八章  </w:t>
      </w:r>
      <w:bookmarkStart w:id="161" w:name="OLE_LINK178"/>
      <w:r>
        <w:rPr>
          <w:rFonts w:hint="eastAsia"/>
          <w:lang w:val="en-US" w:eastAsia="zh-CN"/>
        </w:rPr>
        <w:t>加强生态环境保护治理</w:t>
      </w:r>
      <w:bookmarkEnd w:id="159"/>
    </w:p>
    <w:bookmarkEnd w:id="160"/>
    <w:bookmarkEnd w:id="161"/>
    <w:p w14:paraId="7DF68FD0">
      <w:pPr>
        <w:pStyle w:val="3"/>
        <w:numPr>
          <w:ilvl w:val="0"/>
          <w:numId w:val="8"/>
        </w:numPr>
        <w:bidi w:val="0"/>
        <w:rPr>
          <w:rFonts w:hint="eastAsia"/>
          <w:lang w:val="en-US" w:eastAsia="zh-CN"/>
        </w:rPr>
      </w:pPr>
      <w:bookmarkStart w:id="162" w:name="_Toc10779"/>
      <w:bookmarkStart w:id="163" w:name="OLE_LINK179"/>
      <w:r>
        <w:rPr>
          <w:rFonts w:hint="eastAsia"/>
          <w:lang w:val="en-US" w:eastAsia="zh-CN"/>
        </w:rPr>
        <w:t>强化生态系统保护与修复</w:t>
      </w:r>
      <w:bookmarkEnd w:id="162"/>
    </w:p>
    <w:p w14:paraId="407C9317">
      <w:pPr>
        <w:keepNext w:val="0"/>
        <w:keepLines w:val="0"/>
        <w:widowControl/>
        <w:suppressLineNumbers w:val="0"/>
        <w:ind w:firstLine="640" w:firstLineChars="200"/>
        <w:jc w:val="left"/>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基于侯马市一山两河的生态本底，全面实施主体功能区战略，落实生态保护红线、永久基本农田、城镇开发边界三条控制线。</w:t>
      </w:r>
      <w:bookmarkEnd w:id="163"/>
      <w:bookmarkStart w:id="164" w:name="OLE_LINK180"/>
      <w:r>
        <w:rPr>
          <w:rFonts w:hint="eastAsia" w:ascii="仿宋_GB2312" w:hAnsi="仿宋_GB2312" w:eastAsia="仿宋_GB2312" w:cs="仿宋_GB2312"/>
          <w:b w:val="0"/>
          <w:bCs w:val="0"/>
          <w:color w:val="auto"/>
          <w:sz w:val="32"/>
          <w:szCs w:val="32"/>
          <w:highlight w:val="none"/>
          <w:lang w:val="en-US" w:eastAsia="zh-CN"/>
        </w:rPr>
        <w:t>按照“一屏两廊一</w:t>
      </w:r>
      <w:r>
        <w:rPr>
          <w:rFonts w:hint="default" w:ascii="仿宋_GB2312" w:hAnsi="仿宋_GB2312" w:eastAsia="仿宋_GB2312" w:cs="仿宋_GB2312"/>
          <w:b w:val="0"/>
          <w:bCs w:val="0"/>
          <w:color w:val="auto"/>
          <w:sz w:val="32"/>
          <w:szCs w:val="32"/>
          <w:highlight w:val="none"/>
          <w:lang w:val="en-US" w:eastAsia="zh-CN"/>
        </w:rPr>
        <w:t>心”生态空间格局，统筹推进山水林田湖草矿生态保护修复治理，实施紫金山生态整治修复，筑牢生态安全屏障，开展浍河、汾河流域系统治理，构筑山水交融生态格局，</w:t>
      </w:r>
      <w:bookmarkEnd w:id="164"/>
      <w:r>
        <w:rPr>
          <w:rFonts w:hint="eastAsia" w:ascii="仿宋_GB2312" w:hAnsi="仿宋_GB2312" w:eastAsia="仿宋_GB2312" w:cs="仿宋_GB2312"/>
          <w:b w:val="0"/>
          <w:bCs w:val="0"/>
          <w:color w:val="auto"/>
          <w:sz w:val="32"/>
          <w:szCs w:val="32"/>
          <w:highlight w:val="none"/>
          <w:lang w:val="en-US" w:eastAsia="zh-CN"/>
        </w:rPr>
        <w:t>严格落实保护《侯马市国土空间总体规划》划定的紫金山山体修复区、侯</w:t>
      </w:r>
      <w:r>
        <w:rPr>
          <w:rFonts w:hint="default" w:ascii="仿宋_GB2312" w:hAnsi="仿宋_GB2312" w:eastAsia="仿宋_GB2312" w:cs="仿宋_GB2312"/>
          <w:b w:val="0"/>
          <w:bCs w:val="0"/>
          <w:color w:val="auto"/>
          <w:sz w:val="32"/>
          <w:szCs w:val="32"/>
          <w:highlight w:val="none"/>
          <w:lang w:val="en-US" w:eastAsia="zh-CN"/>
        </w:rPr>
        <w:t>北生态林地修复区以及汾、浍河流域水体修复区。</w:t>
      </w:r>
      <w:r>
        <w:rPr>
          <w:rFonts w:hint="eastAsia" w:ascii="仿宋_GB2312" w:hAnsi="仿宋_GB2312" w:eastAsia="仿宋_GB2312" w:cs="仿宋_GB2312"/>
          <w:b w:val="0"/>
          <w:bCs w:val="0"/>
          <w:color w:val="auto"/>
          <w:sz w:val="32"/>
          <w:szCs w:val="32"/>
          <w:highlight w:val="none"/>
          <w:lang w:val="en-US" w:eastAsia="zh-CN"/>
        </w:rPr>
        <w:t>依托生态修复分区，落实重大生态修复工程，包括汾河、浍河</w:t>
      </w:r>
      <w:r>
        <w:rPr>
          <w:rFonts w:hint="default" w:ascii="仿宋_GB2312" w:hAnsi="仿宋_GB2312" w:eastAsia="仿宋_GB2312" w:cs="仿宋_GB2312"/>
          <w:b w:val="0"/>
          <w:bCs w:val="0"/>
          <w:color w:val="auto"/>
          <w:sz w:val="32"/>
          <w:szCs w:val="32"/>
          <w:highlight w:val="none"/>
          <w:lang w:val="en-US" w:eastAsia="zh-CN"/>
        </w:rPr>
        <w:t>生态修复综合治理工程、浍河人工湿地改善工程、电厂粉煤灰堆场生态修复治理工程、浍河二库生态涵养林工程以及废弃露天矿山生态修复工程。</w:t>
      </w:r>
    </w:p>
    <w:p w14:paraId="3DE7286D">
      <w:pPr>
        <w:keepNext w:val="0"/>
        <w:keepLines w:val="0"/>
        <w:widowControl/>
        <w:suppressLineNumbers w:val="0"/>
        <w:ind w:firstLine="640" w:firstLineChars="200"/>
        <w:jc w:val="left"/>
        <w:rPr>
          <w:rFonts w:hint="eastAsia"/>
          <w:lang w:val="en-US" w:eastAsia="zh-CN"/>
        </w:rPr>
      </w:pPr>
      <w:bookmarkStart w:id="165" w:name="OLE_LINK181"/>
      <w:r>
        <w:rPr>
          <w:rFonts w:hint="eastAsia" w:ascii="仿宋_GB2312" w:hAnsi="仿宋_GB2312" w:eastAsia="仿宋_GB2312" w:cs="仿宋_GB2312"/>
          <w:b w:val="0"/>
          <w:bCs w:val="0"/>
          <w:color w:val="auto"/>
          <w:sz w:val="32"/>
          <w:szCs w:val="32"/>
          <w:highlight w:val="none"/>
          <w:lang w:val="en-US" w:eastAsia="zh-CN"/>
        </w:rPr>
        <w:t>提升国土空间品质，优化国土空间布局，以资源高效利用提升国土空间质量，积极开展国土综合整治。</w:t>
      </w:r>
    </w:p>
    <w:bookmarkEnd w:id="165"/>
    <w:p w14:paraId="4AA6DBD7">
      <w:pPr>
        <w:keepNext w:val="0"/>
        <w:keepLines w:val="0"/>
        <w:widowControl/>
        <w:suppressLineNumbers w:val="0"/>
        <w:ind w:firstLine="640" w:firstLineChars="200"/>
        <w:jc w:val="left"/>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实施碳达峰碳中和专项行动。</w:t>
      </w:r>
      <w:r>
        <w:rPr>
          <w:rFonts w:hint="default" w:ascii="仿宋_GB2312" w:hAnsi="仿宋_GB2312" w:eastAsia="仿宋_GB2312" w:cs="仿宋_GB2312"/>
          <w:b w:val="0"/>
          <w:bCs w:val="0"/>
          <w:color w:val="auto"/>
          <w:sz w:val="32"/>
          <w:szCs w:val="32"/>
          <w:highlight w:val="none"/>
          <w:lang w:val="en-US" w:eastAsia="zh-CN"/>
        </w:rPr>
        <w:t>2020 年中央经济工作会议明确将做好碳达峰、碳中和工作 列为当年八项重点任务之一。侯马市落实山西省、临汾市相关要求， 支撑“双碳”目标实现，提出了减少碳排放总量、提升自然生态系 统碳汇能力两大路径。</w:t>
      </w:r>
      <w:r>
        <w:rPr>
          <w:rFonts w:hint="eastAsia" w:ascii="仿宋_GB2312" w:hAnsi="仿宋_GB2312" w:eastAsia="仿宋_GB2312" w:cs="仿宋_GB2312"/>
          <w:b w:val="0"/>
          <w:bCs w:val="0"/>
          <w:color w:val="auto"/>
          <w:sz w:val="32"/>
          <w:szCs w:val="32"/>
          <w:highlight w:val="none"/>
          <w:lang w:val="en-US" w:eastAsia="zh-CN"/>
        </w:rPr>
        <w:t>深入实施战略性新兴产业培育工程，加快形成节约资源和保护环境的产业结构、生产方式、生活方式、空间格局，实现降碳、减污、扩绿、增长协同推进。</w:t>
      </w:r>
    </w:p>
    <w:p w14:paraId="314E1604">
      <w:pPr>
        <w:pStyle w:val="3"/>
        <w:numPr>
          <w:ilvl w:val="0"/>
          <w:numId w:val="8"/>
        </w:numPr>
        <w:bidi w:val="0"/>
        <w:rPr>
          <w:rFonts w:hint="eastAsia"/>
          <w:lang w:val="en-US" w:eastAsia="zh-CN"/>
        </w:rPr>
      </w:pPr>
      <w:bookmarkStart w:id="166" w:name="_Toc26835"/>
      <w:bookmarkStart w:id="167" w:name="OLE_LINK182"/>
      <w:r>
        <w:rPr>
          <w:rFonts w:hint="eastAsia"/>
          <w:lang w:val="en-US" w:eastAsia="zh-CN"/>
        </w:rPr>
        <w:t>深入推进生态环境污染防治</w:t>
      </w:r>
      <w:bookmarkEnd w:id="166"/>
      <w:r>
        <w:rPr>
          <w:rFonts w:hint="eastAsia"/>
          <w:lang w:val="en-US" w:eastAsia="zh-CN"/>
        </w:rPr>
        <w:t xml:space="preserve"> </w:t>
      </w:r>
    </w:p>
    <w:p w14:paraId="424CA661">
      <w:pPr>
        <w:ind w:firstLine="640" w:firstLineChars="200"/>
        <w:rPr>
          <w:rFonts w:hint="eastAsia"/>
          <w:b w:val="0"/>
          <w:bCs w:val="0"/>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实施污染防治行动，协同推进减污降碳。</w:t>
      </w:r>
      <w:bookmarkEnd w:id="167"/>
      <w:r>
        <w:rPr>
          <w:rFonts w:hint="eastAsia" w:ascii="仿宋_GB2312" w:hAnsi="仿宋_GB2312" w:eastAsia="仿宋_GB2312" w:cs="仿宋_GB2312"/>
          <w:b w:val="0"/>
          <w:bCs w:val="0"/>
          <w:color w:val="auto"/>
          <w:sz w:val="32"/>
          <w:szCs w:val="32"/>
          <w:highlight w:val="none"/>
          <w:lang w:val="en-US" w:eastAsia="zh-CN"/>
        </w:rPr>
        <w:t xml:space="preserve">实施 </w:t>
      </w:r>
      <w:r>
        <w:rPr>
          <w:rFonts w:hint="default" w:ascii="仿宋_GB2312" w:hAnsi="仿宋_GB2312" w:eastAsia="仿宋_GB2312" w:cs="仿宋_GB2312"/>
          <w:b w:val="0"/>
          <w:bCs w:val="0"/>
          <w:color w:val="auto"/>
          <w:sz w:val="32"/>
          <w:szCs w:val="32"/>
          <w:highlight w:val="none"/>
          <w:lang w:val="en-US" w:eastAsia="zh-CN"/>
        </w:rPr>
        <w:t>PM2.5</w:t>
      </w:r>
      <w:r>
        <w:rPr>
          <w:rFonts w:hint="eastAsia" w:ascii="仿宋_GB2312" w:hAnsi="仿宋_GB2312" w:eastAsia="仿宋_GB2312" w:cs="仿宋_GB2312"/>
          <w:b w:val="0"/>
          <w:bCs w:val="0"/>
          <w:color w:val="auto"/>
          <w:sz w:val="32"/>
          <w:szCs w:val="32"/>
          <w:highlight w:val="none"/>
          <w:lang w:val="en-US" w:eastAsia="zh-CN"/>
        </w:rPr>
        <w:t>和臭氧污染协同防控，保持好空气质量；</w:t>
      </w:r>
      <w:bookmarkStart w:id="168" w:name="OLE_LINK183"/>
      <w:r>
        <w:rPr>
          <w:rFonts w:hint="eastAsia" w:ascii="仿宋_GB2312" w:hAnsi="仿宋_GB2312" w:eastAsia="仿宋_GB2312" w:cs="仿宋_GB2312"/>
          <w:b w:val="0"/>
          <w:bCs w:val="0"/>
          <w:color w:val="auto"/>
          <w:sz w:val="32"/>
          <w:szCs w:val="32"/>
          <w:highlight w:val="none"/>
          <w:lang w:val="en-US" w:eastAsia="zh-CN"/>
        </w:rPr>
        <w:t>加快推进碳达峰；统筹开展各类生态系统保护修复监管；</w:t>
      </w:r>
      <w:bookmarkEnd w:id="168"/>
      <w:r>
        <w:rPr>
          <w:rFonts w:hint="eastAsia" w:ascii="仿宋_GB2312" w:hAnsi="仿宋_GB2312" w:eastAsia="仿宋_GB2312" w:cs="仿宋_GB2312"/>
          <w:b w:val="0"/>
          <w:bCs w:val="0"/>
          <w:color w:val="auto"/>
          <w:sz w:val="32"/>
          <w:szCs w:val="32"/>
          <w:highlight w:val="none"/>
          <w:lang w:val="en-US" w:eastAsia="zh-CN"/>
        </w:rPr>
        <w:t>统筹水资源、水生态、水环境，开展综合治理、系统治理和源头治理，继续增加水安全保障能力，提升水生态安全；进一步加强受污染土壤的安全利用和严格管控，以及固体废弃物环境污染治理；统筹生态环境保护与经济社会发展，有效防范和化解各类生态环境风险，加强监管，确保核与辐射安全。</w:t>
      </w:r>
      <w:r>
        <w:rPr>
          <w:rFonts w:hint="eastAsia"/>
          <w:b w:val="0"/>
          <w:bCs w:val="0"/>
          <w:color w:val="auto"/>
          <w:sz w:val="32"/>
          <w:szCs w:val="32"/>
          <w:lang w:val="en-US" w:eastAsia="zh-CN"/>
        </w:rPr>
        <w:t xml:space="preserve"> </w:t>
      </w:r>
    </w:p>
    <w:p w14:paraId="4AD639FB">
      <w:pPr>
        <w:pStyle w:val="3"/>
        <w:numPr>
          <w:ilvl w:val="0"/>
          <w:numId w:val="8"/>
        </w:numPr>
        <w:bidi w:val="0"/>
        <w:rPr>
          <w:rFonts w:hint="eastAsia"/>
          <w:lang w:val="en-US" w:eastAsia="zh-CN"/>
        </w:rPr>
      </w:pPr>
      <w:bookmarkStart w:id="169" w:name="_Toc24769"/>
      <w:bookmarkStart w:id="170" w:name="OLE_LINK20"/>
      <w:bookmarkStart w:id="171" w:name="OLE_LINK28"/>
      <w:r>
        <w:rPr>
          <w:rFonts w:hint="eastAsia"/>
          <w:lang w:val="en-US" w:eastAsia="zh-CN"/>
        </w:rPr>
        <w:t>构建现代环境治理体系和治理能力</w:t>
      </w:r>
      <w:bookmarkEnd w:id="169"/>
      <w:r>
        <w:rPr>
          <w:rFonts w:hint="eastAsia"/>
          <w:lang w:val="en-US" w:eastAsia="zh-CN"/>
        </w:rPr>
        <w:t xml:space="preserve"> </w:t>
      </w:r>
      <w:bookmarkEnd w:id="170"/>
    </w:p>
    <w:bookmarkEnd w:id="171"/>
    <w:p w14:paraId="38475575">
      <w:pPr>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坚持党的领导、多方共治、市场导向、依法治理原则， 健全侯马市环境治理领导责任体系、企业责任体系、全民行动体系、监管体系、市场体系、信用体系、政策体系，提高环境保护能力。</w:t>
      </w:r>
      <w:bookmarkStart w:id="172" w:name="OLE_LINK184"/>
      <w:r>
        <w:rPr>
          <w:rFonts w:hint="eastAsia" w:ascii="仿宋_GB2312" w:hAnsi="仿宋_GB2312" w:eastAsia="仿宋_GB2312" w:cs="仿宋_GB2312"/>
          <w:b w:val="0"/>
          <w:bCs w:val="0"/>
          <w:color w:val="auto"/>
          <w:sz w:val="32"/>
          <w:szCs w:val="32"/>
          <w:highlight w:val="none"/>
          <w:lang w:val="en-US" w:eastAsia="zh-CN"/>
        </w:rPr>
        <w:t>到2030年，基本形成导向清晰、决策科学、 执行有力、激励有效、多元参与、良性互动的现代环境治理体系，为推动全市生态环境根本好转、切实筑牢“一屏两廊一</w:t>
      </w:r>
      <w:r>
        <w:rPr>
          <w:rFonts w:hint="default" w:ascii="仿宋_GB2312" w:hAnsi="仿宋_GB2312" w:eastAsia="仿宋_GB2312" w:cs="仿宋_GB2312"/>
          <w:b w:val="0"/>
          <w:bCs w:val="0"/>
          <w:color w:val="auto"/>
          <w:sz w:val="32"/>
          <w:szCs w:val="32"/>
          <w:highlight w:val="none"/>
          <w:lang w:val="en-US" w:eastAsia="zh-CN"/>
        </w:rPr>
        <w:t>心”</w:t>
      </w:r>
      <w:r>
        <w:rPr>
          <w:rFonts w:hint="eastAsia" w:ascii="仿宋_GB2312" w:hAnsi="仿宋_GB2312" w:eastAsia="仿宋_GB2312" w:cs="仿宋_GB2312"/>
          <w:b w:val="0"/>
          <w:bCs w:val="0"/>
          <w:color w:val="auto"/>
          <w:sz w:val="32"/>
          <w:szCs w:val="32"/>
          <w:highlight w:val="none"/>
          <w:lang w:val="en-US" w:eastAsia="zh-CN"/>
        </w:rPr>
        <w:t>生态屏障、加快建设美丽侯马提供有力制度保障。</w:t>
      </w:r>
      <w:bookmarkEnd w:id="172"/>
    </w:p>
    <w:p w14:paraId="3ED56A1D">
      <w:pPr>
        <w:rPr>
          <w:rFonts w:hint="eastAsia"/>
          <w:lang w:val="en-US" w:eastAsia="zh-CN"/>
        </w:rPr>
      </w:pPr>
      <w:bookmarkStart w:id="173" w:name="OLE_LINK19"/>
    </w:p>
    <w:p w14:paraId="057E5280">
      <w:pPr>
        <w:pStyle w:val="2"/>
        <w:bidi w:val="0"/>
        <w:rPr>
          <w:rFonts w:hint="default"/>
          <w:lang w:val="en-US" w:eastAsia="zh-CN"/>
        </w:rPr>
      </w:pPr>
      <w:bookmarkStart w:id="174" w:name="_Toc104"/>
      <w:r>
        <w:rPr>
          <w:rFonts w:hint="eastAsia"/>
          <w:lang w:val="en-US" w:eastAsia="zh-CN"/>
        </w:rPr>
        <w:t xml:space="preserve">第九章  </w:t>
      </w:r>
      <w:bookmarkStart w:id="175" w:name="OLE_LINK186"/>
      <w:r>
        <w:rPr>
          <w:rFonts w:hint="eastAsia"/>
          <w:lang w:val="en-US" w:eastAsia="zh-CN"/>
        </w:rPr>
        <w:t>历史文化保护</w:t>
      </w:r>
      <w:bookmarkEnd w:id="174"/>
    </w:p>
    <w:p w14:paraId="7E559ED0">
      <w:pPr>
        <w:keepNext w:val="0"/>
        <w:keepLines w:val="0"/>
        <w:widowControl/>
        <w:suppressLineNumbers w:val="0"/>
        <w:ind w:firstLine="640" w:firstLineChars="200"/>
        <w:jc w:val="left"/>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以地域文化为根基，发挥文化驱动力，彰显城市文化内涵，提升城市文化品位，塑造城市魅力空间，实现文化技艺传承和创新活力发展。严格落实《侯马市国土空间总体规划》（2021—2035）划定的 4 处省级文物保护单位及 22 处县级文物保护单位历史文化保护线，对历史文化遗产资源进行分级分类保护利用；开展城市公园更新，打造城市魅力空间，全方位多角度展示晋国文化。</w:t>
      </w:r>
      <w:bookmarkEnd w:id="173"/>
      <w:bookmarkEnd w:id="175"/>
    </w:p>
    <w:p w14:paraId="29DA30B7">
      <w:pPr>
        <w:rPr>
          <w:rFonts w:hint="default" w:ascii="仿宋_GB2312" w:hAnsi="仿宋_GB2312" w:eastAsia="仿宋_GB2312" w:cs="仿宋_GB2312"/>
          <w:b w:val="0"/>
          <w:bCs w:val="0"/>
          <w:color w:val="auto"/>
          <w:sz w:val="32"/>
          <w:szCs w:val="32"/>
          <w:highlight w:val="none"/>
          <w:lang w:val="en-US"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宋体"/>
    <w:panose1 w:val="02010601030101010101"/>
    <w:charset w:val="86"/>
    <w:family w:val="auto"/>
    <w:pitch w:val="default"/>
    <w:sig w:usb0="00000000" w:usb1="00000000" w:usb2="00000000" w:usb3="00000000" w:csb0="00040000" w:csb1="00000000"/>
  </w:font>
  <w:font w:name="Meiryo">
    <w:panose1 w:val="020B0604030504040204"/>
    <w:charset w:val="80"/>
    <w:family w:val="auto"/>
    <w:pitch w:val="default"/>
    <w:sig w:usb0="E10102FF" w:usb1="EAC7FFFF" w:usb2="00010012" w:usb3="00000000" w:csb0="6002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F70B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053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9B39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59B39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9FDCE">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B0EE0">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AB0EE0">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60888">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E883D"/>
    <w:multiLevelType w:val="singleLevel"/>
    <w:tmpl w:val="86FE883D"/>
    <w:lvl w:ilvl="0" w:tentative="0">
      <w:start w:val="2"/>
      <w:numFmt w:val="chineseCounting"/>
      <w:suff w:val="nothing"/>
      <w:lvlText w:val="%1、"/>
      <w:lvlJc w:val="left"/>
      <w:rPr>
        <w:rFonts w:hint="eastAsia"/>
      </w:rPr>
    </w:lvl>
  </w:abstractNum>
  <w:abstractNum w:abstractNumId="1">
    <w:nsid w:val="A30B6BB1"/>
    <w:multiLevelType w:val="singleLevel"/>
    <w:tmpl w:val="A30B6BB1"/>
    <w:lvl w:ilvl="0" w:tentative="0">
      <w:start w:val="1"/>
      <w:numFmt w:val="chineseCounting"/>
      <w:suff w:val="nothing"/>
      <w:lvlText w:val="%1、"/>
      <w:lvlJc w:val="left"/>
      <w:rPr>
        <w:rFonts w:hint="eastAsia"/>
      </w:rPr>
    </w:lvl>
  </w:abstractNum>
  <w:abstractNum w:abstractNumId="2">
    <w:nsid w:val="A600DEC1"/>
    <w:multiLevelType w:val="singleLevel"/>
    <w:tmpl w:val="A600DEC1"/>
    <w:lvl w:ilvl="0" w:tentative="0">
      <w:start w:val="1"/>
      <w:numFmt w:val="decimalEnclosedCircleChinese"/>
      <w:pStyle w:val="5"/>
      <w:suff w:val="nothing"/>
      <w:lvlText w:val="%1"/>
      <w:lvlJc w:val="left"/>
      <w:pPr>
        <w:tabs>
          <w:tab w:val="left" w:pos="0"/>
        </w:tabs>
        <w:ind w:left="0" w:firstLine="403"/>
      </w:pPr>
      <w:rPr>
        <w:rFonts w:hint="eastAsia" w:ascii="Times New Roman" w:hAnsi="Times New Roman" w:eastAsia="仿宋_GB2312"/>
      </w:rPr>
    </w:lvl>
  </w:abstractNum>
  <w:abstractNum w:abstractNumId="3">
    <w:nsid w:val="C282E81D"/>
    <w:multiLevelType w:val="singleLevel"/>
    <w:tmpl w:val="C282E81D"/>
    <w:lvl w:ilvl="0" w:tentative="0">
      <w:start w:val="1"/>
      <w:numFmt w:val="chineseCounting"/>
      <w:suff w:val="nothing"/>
      <w:lvlText w:val="%1、"/>
      <w:lvlJc w:val="left"/>
      <w:rPr>
        <w:rFonts w:hint="eastAsia"/>
      </w:rPr>
    </w:lvl>
  </w:abstractNum>
  <w:abstractNum w:abstractNumId="4">
    <w:nsid w:val="C6FE57A0"/>
    <w:multiLevelType w:val="singleLevel"/>
    <w:tmpl w:val="C6FE57A0"/>
    <w:lvl w:ilvl="0" w:tentative="0">
      <w:start w:val="7"/>
      <w:numFmt w:val="chineseCounting"/>
      <w:suff w:val="space"/>
      <w:lvlText w:val="第%1章"/>
      <w:lvlJc w:val="left"/>
      <w:rPr>
        <w:rFonts w:hint="eastAsia"/>
      </w:rPr>
    </w:lvl>
  </w:abstractNum>
  <w:abstractNum w:abstractNumId="5">
    <w:nsid w:val="EA493987"/>
    <w:multiLevelType w:val="singleLevel"/>
    <w:tmpl w:val="EA493987"/>
    <w:lvl w:ilvl="0" w:tentative="0">
      <w:start w:val="1"/>
      <w:numFmt w:val="chineseCounting"/>
      <w:suff w:val="nothing"/>
      <w:lvlText w:val="%1、"/>
      <w:lvlJc w:val="left"/>
      <w:rPr>
        <w:rFonts w:hint="eastAsia"/>
      </w:rPr>
    </w:lvl>
  </w:abstractNum>
  <w:abstractNum w:abstractNumId="6">
    <w:nsid w:val="2BE4F507"/>
    <w:multiLevelType w:val="singleLevel"/>
    <w:tmpl w:val="2BE4F507"/>
    <w:lvl w:ilvl="0" w:tentative="0">
      <w:start w:val="1"/>
      <w:numFmt w:val="chineseCounting"/>
      <w:suff w:val="nothing"/>
      <w:lvlText w:val="%1、"/>
      <w:lvlJc w:val="left"/>
      <w:rPr>
        <w:rFonts w:hint="eastAsia"/>
      </w:rPr>
    </w:lvl>
  </w:abstractNum>
  <w:abstractNum w:abstractNumId="7">
    <w:nsid w:val="3EAAFD89"/>
    <w:multiLevelType w:val="singleLevel"/>
    <w:tmpl w:val="3EAAFD89"/>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7"/>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ZGVmN2U1MmM0ZGJhODJmYzdmMzljY2E1NDdhMmQifQ=="/>
  </w:docVars>
  <w:rsids>
    <w:rsidRoot w:val="2AD11D7F"/>
    <w:rsid w:val="003357D8"/>
    <w:rsid w:val="003E2F09"/>
    <w:rsid w:val="00523EB0"/>
    <w:rsid w:val="0098388D"/>
    <w:rsid w:val="00BC3A1F"/>
    <w:rsid w:val="00DD0D13"/>
    <w:rsid w:val="00EF16FF"/>
    <w:rsid w:val="00F443C8"/>
    <w:rsid w:val="010D427B"/>
    <w:rsid w:val="014A4B87"/>
    <w:rsid w:val="017276F9"/>
    <w:rsid w:val="01B6221C"/>
    <w:rsid w:val="022A0239"/>
    <w:rsid w:val="023D46EC"/>
    <w:rsid w:val="02513E1F"/>
    <w:rsid w:val="02785430"/>
    <w:rsid w:val="02DD1A2B"/>
    <w:rsid w:val="02FE031F"/>
    <w:rsid w:val="03247659"/>
    <w:rsid w:val="04AB1DE0"/>
    <w:rsid w:val="04B571C7"/>
    <w:rsid w:val="04ED23F9"/>
    <w:rsid w:val="04F75026"/>
    <w:rsid w:val="052027CE"/>
    <w:rsid w:val="058F280E"/>
    <w:rsid w:val="05A84572"/>
    <w:rsid w:val="05CF5FA2"/>
    <w:rsid w:val="06222D63"/>
    <w:rsid w:val="069114AA"/>
    <w:rsid w:val="06AC1E40"/>
    <w:rsid w:val="073562D9"/>
    <w:rsid w:val="073A38EF"/>
    <w:rsid w:val="074E2EF7"/>
    <w:rsid w:val="07B74F40"/>
    <w:rsid w:val="08204893"/>
    <w:rsid w:val="089C0455"/>
    <w:rsid w:val="08C711B3"/>
    <w:rsid w:val="08CE0793"/>
    <w:rsid w:val="093E5C6E"/>
    <w:rsid w:val="097A67FC"/>
    <w:rsid w:val="098451E9"/>
    <w:rsid w:val="09AE6D77"/>
    <w:rsid w:val="09B47989"/>
    <w:rsid w:val="09CB082F"/>
    <w:rsid w:val="0A073F5D"/>
    <w:rsid w:val="0A441ABF"/>
    <w:rsid w:val="0A747118"/>
    <w:rsid w:val="0A8F3F52"/>
    <w:rsid w:val="0A9B28F7"/>
    <w:rsid w:val="0AD7716B"/>
    <w:rsid w:val="0B1D50BA"/>
    <w:rsid w:val="0C1B5A9E"/>
    <w:rsid w:val="0CF87B8D"/>
    <w:rsid w:val="0D566737"/>
    <w:rsid w:val="0D5A0848"/>
    <w:rsid w:val="0DCB3EAD"/>
    <w:rsid w:val="0DF87CF6"/>
    <w:rsid w:val="0E286250"/>
    <w:rsid w:val="0E5057A7"/>
    <w:rsid w:val="0E811E04"/>
    <w:rsid w:val="0E990274"/>
    <w:rsid w:val="0EDE2CAE"/>
    <w:rsid w:val="0EDE2DB2"/>
    <w:rsid w:val="0EEC54CF"/>
    <w:rsid w:val="0EF600FC"/>
    <w:rsid w:val="0F130CAE"/>
    <w:rsid w:val="0F191325"/>
    <w:rsid w:val="0F3626C8"/>
    <w:rsid w:val="0F4C5F6E"/>
    <w:rsid w:val="0F73174D"/>
    <w:rsid w:val="0FDF3286"/>
    <w:rsid w:val="0FEB1C2B"/>
    <w:rsid w:val="0FFC3E38"/>
    <w:rsid w:val="103C5FE2"/>
    <w:rsid w:val="104A27A8"/>
    <w:rsid w:val="10606175"/>
    <w:rsid w:val="109C3B0A"/>
    <w:rsid w:val="109C7925"/>
    <w:rsid w:val="10D20E3E"/>
    <w:rsid w:val="10D57B22"/>
    <w:rsid w:val="10E01064"/>
    <w:rsid w:val="11053D04"/>
    <w:rsid w:val="1125116C"/>
    <w:rsid w:val="11453177"/>
    <w:rsid w:val="118203B2"/>
    <w:rsid w:val="118C5D11"/>
    <w:rsid w:val="121A5B32"/>
    <w:rsid w:val="12413D84"/>
    <w:rsid w:val="12483364"/>
    <w:rsid w:val="125F471B"/>
    <w:rsid w:val="129C0FBA"/>
    <w:rsid w:val="12B2450B"/>
    <w:rsid w:val="12E5392A"/>
    <w:rsid w:val="12E96050"/>
    <w:rsid w:val="134C478E"/>
    <w:rsid w:val="13693592"/>
    <w:rsid w:val="138E3A5E"/>
    <w:rsid w:val="139E0D62"/>
    <w:rsid w:val="13BB7B66"/>
    <w:rsid w:val="13D056E9"/>
    <w:rsid w:val="14291130"/>
    <w:rsid w:val="143E449F"/>
    <w:rsid w:val="147A532B"/>
    <w:rsid w:val="14AC6B27"/>
    <w:rsid w:val="14B051F1"/>
    <w:rsid w:val="15517B0A"/>
    <w:rsid w:val="157D3325"/>
    <w:rsid w:val="15B35EA6"/>
    <w:rsid w:val="167A4314"/>
    <w:rsid w:val="16852F85"/>
    <w:rsid w:val="169F376F"/>
    <w:rsid w:val="16E96798"/>
    <w:rsid w:val="17325312"/>
    <w:rsid w:val="17342109"/>
    <w:rsid w:val="17AC6144"/>
    <w:rsid w:val="18A6554C"/>
    <w:rsid w:val="18BC23B6"/>
    <w:rsid w:val="19121096"/>
    <w:rsid w:val="1939323A"/>
    <w:rsid w:val="19996254"/>
    <w:rsid w:val="19C808E7"/>
    <w:rsid w:val="19CA465F"/>
    <w:rsid w:val="19EC0A79"/>
    <w:rsid w:val="19FB10EF"/>
    <w:rsid w:val="1A2024D1"/>
    <w:rsid w:val="1A646862"/>
    <w:rsid w:val="1A9058A9"/>
    <w:rsid w:val="1AE71241"/>
    <w:rsid w:val="1B140288"/>
    <w:rsid w:val="1B5E2C38"/>
    <w:rsid w:val="1B9C202C"/>
    <w:rsid w:val="1C2E5379"/>
    <w:rsid w:val="1C4912E1"/>
    <w:rsid w:val="1C5B628A"/>
    <w:rsid w:val="1C7A61E7"/>
    <w:rsid w:val="1CBD494F"/>
    <w:rsid w:val="1CD60CFE"/>
    <w:rsid w:val="1D645E54"/>
    <w:rsid w:val="1D882C4C"/>
    <w:rsid w:val="1DF56CE4"/>
    <w:rsid w:val="1E8F161A"/>
    <w:rsid w:val="1EE03ED0"/>
    <w:rsid w:val="1F3F164B"/>
    <w:rsid w:val="1F793A4D"/>
    <w:rsid w:val="20052895"/>
    <w:rsid w:val="20542ED4"/>
    <w:rsid w:val="206F7D0E"/>
    <w:rsid w:val="217F6677"/>
    <w:rsid w:val="21843C8D"/>
    <w:rsid w:val="219043E0"/>
    <w:rsid w:val="219A0DBB"/>
    <w:rsid w:val="21B31E7D"/>
    <w:rsid w:val="21E608E0"/>
    <w:rsid w:val="222114DC"/>
    <w:rsid w:val="22446720"/>
    <w:rsid w:val="224C47AB"/>
    <w:rsid w:val="22592A24"/>
    <w:rsid w:val="22F10EAE"/>
    <w:rsid w:val="22F50C39"/>
    <w:rsid w:val="231B5F2B"/>
    <w:rsid w:val="2346744C"/>
    <w:rsid w:val="235002CB"/>
    <w:rsid w:val="235356C5"/>
    <w:rsid w:val="23671171"/>
    <w:rsid w:val="23694EE9"/>
    <w:rsid w:val="238E02E4"/>
    <w:rsid w:val="23BD5235"/>
    <w:rsid w:val="23C46D07"/>
    <w:rsid w:val="23C71C0F"/>
    <w:rsid w:val="24961D0D"/>
    <w:rsid w:val="24DB0C28"/>
    <w:rsid w:val="24E94533"/>
    <w:rsid w:val="25870A29"/>
    <w:rsid w:val="25950217"/>
    <w:rsid w:val="259C77F7"/>
    <w:rsid w:val="25E1520A"/>
    <w:rsid w:val="261F5D33"/>
    <w:rsid w:val="26321F0A"/>
    <w:rsid w:val="267F4C27"/>
    <w:rsid w:val="268F1E69"/>
    <w:rsid w:val="26BB5A5B"/>
    <w:rsid w:val="26E073EC"/>
    <w:rsid w:val="27321A96"/>
    <w:rsid w:val="28697739"/>
    <w:rsid w:val="289522DC"/>
    <w:rsid w:val="296A40E9"/>
    <w:rsid w:val="29905947"/>
    <w:rsid w:val="29A56451"/>
    <w:rsid w:val="29CE019B"/>
    <w:rsid w:val="29ED29FC"/>
    <w:rsid w:val="2A4B359A"/>
    <w:rsid w:val="2A5941BB"/>
    <w:rsid w:val="2A7558A1"/>
    <w:rsid w:val="2AD11D7F"/>
    <w:rsid w:val="2B1B11BE"/>
    <w:rsid w:val="2BC25ADE"/>
    <w:rsid w:val="2BCC070B"/>
    <w:rsid w:val="2C1752F1"/>
    <w:rsid w:val="2C7261BD"/>
    <w:rsid w:val="2C9E7D7D"/>
    <w:rsid w:val="2D0534FA"/>
    <w:rsid w:val="2D2E08B5"/>
    <w:rsid w:val="2D485B6F"/>
    <w:rsid w:val="2D6D1A79"/>
    <w:rsid w:val="2D843E0C"/>
    <w:rsid w:val="2E4A068F"/>
    <w:rsid w:val="2E9A4AF0"/>
    <w:rsid w:val="2F0401BB"/>
    <w:rsid w:val="2F553B10"/>
    <w:rsid w:val="2F662C24"/>
    <w:rsid w:val="2F8F217B"/>
    <w:rsid w:val="2FAF6CFD"/>
    <w:rsid w:val="300B566B"/>
    <w:rsid w:val="3029612C"/>
    <w:rsid w:val="310505D8"/>
    <w:rsid w:val="315069C5"/>
    <w:rsid w:val="31751602"/>
    <w:rsid w:val="317B32DB"/>
    <w:rsid w:val="31982AEB"/>
    <w:rsid w:val="31BC5D46"/>
    <w:rsid w:val="31D7492E"/>
    <w:rsid w:val="32036508"/>
    <w:rsid w:val="32902DCB"/>
    <w:rsid w:val="32D06D32"/>
    <w:rsid w:val="330469DC"/>
    <w:rsid w:val="33114C55"/>
    <w:rsid w:val="331A7779"/>
    <w:rsid w:val="334B0167"/>
    <w:rsid w:val="33525999"/>
    <w:rsid w:val="33B2468A"/>
    <w:rsid w:val="346534AA"/>
    <w:rsid w:val="347D25A2"/>
    <w:rsid w:val="34896533"/>
    <w:rsid w:val="34D81ECE"/>
    <w:rsid w:val="34E70363"/>
    <w:rsid w:val="35260E8C"/>
    <w:rsid w:val="35352E7D"/>
    <w:rsid w:val="35636AEE"/>
    <w:rsid w:val="359F2181"/>
    <w:rsid w:val="35B446E9"/>
    <w:rsid w:val="3600792F"/>
    <w:rsid w:val="36176A26"/>
    <w:rsid w:val="3627310D"/>
    <w:rsid w:val="36545584"/>
    <w:rsid w:val="365675D1"/>
    <w:rsid w:val="36745DA1"/>
    <w:rsid w:val="36846EE3"/>
    <w:rsid w:val="3686414E"/>
    <w:rsid w:val="368F14F6"/>
    <w:rsid w:val="36B322D8"/>
    <w:rsid w:val="37182A56"/>
    <w:rsid w:val="37184804"/>
    <w:rsid w:val="371A057C"/>
    <w:rsid w:val="372C6F3C"/>
    <w:rsid w:val="37321D6A"/>
    <w:rsid w:val="373B1970"/>
    <w:rsid w:val="376E0E91"/>
    <w:rsid w:val="37C46987"/>
    <w:rsid w:val="37FC2378"/>
    <w:rsid w:val="3872263A"/>
    <w:rsid w:val="38B32EA0"/>
    <w:rsid w:val="38E86458"/>
    <w:rsid w:val="38F4304F"/>
    <w:rsid w:val="39074B30"/>
    <w:rsid w:val="391C4BCB"/>
    <w:rsid w:val="3942200C"/>
    <w:rsid w:val="394A41AD"/>
    <w:rsid w:val="39750AA2"/>
    <w:rsid w:val="39810D86"/>
    <w:rsid w:val="399A201A"/>
    <w:rsid w:val="3A190FBF"/>
    <w:rsid w:val="3A2C2B3E"/>
    <w:rsid w:val="3A3A1DCE"/>
    <w:rsid w:val="3A647D60"/>
    <w:rsid w:val="3A8B7F85"/>
    <w:rsid w:val="3AC21444"/>
    <w:rsid w:val="3AD71B60"/>
    <w:rsid w:val="3AEA4709"/>
    <w:rsid w:val="3AED70BE"/>
    <w:rsid w:val="3B8C756F"/>
    <w:rsid w:val="3B9B1226"/>
    <w:rsid w:val="3BCE402B"/>
    <w:rsid w:val="3BE948AD"/>
    <w:rsid w:val="3C0B0DDB"/>
    <w:rsid w:val="3C1E28BD"/>
    <w:rsid w:val="3D8175A7"/>
    <w:rsid w:val="3DA363EE"/>
    <w:rsid w:val="3E111FAD"/>
    <w:rsid w:val="3E4127AD"/>
    <w:rsid w:val="3E522CF1"/>
    <w:rsid w:val="3E8F56A6"/>
    <w:rsid w:val="3EF47905"/>
    <w:rsid w:val="3F446ADE"/>
    <w:rsid w:val="3F863274"/>
    <w:rsid w:val="3F9655F2"/>
    <w:rsid w:val="3FBF43B6"/>
    <w:rsid w:val="40DA6FCE"/>
    <w:rsid w:val="4134309E"/>
    <w:rsid w:val="414412DD"/>
    <w:rsid w:val="414F176A"/>
    <w:rsid w:val="417D5F77"/>
    <w:rsid w:val="419E1DAA"/>
    <w:rsid w:val="42303B5B"/>
    <w:rsid w:val="425B7C9B"/>
    <w:rsid w:val="426E09AF"/>
    <w:rsid w:val="42DE6C14"/>
    <w:rsid w:val="434F15AD"/>
    <w:rsid w:val="437E1DA4"/>
    <w:rsid w:val="43B34232"/>
    <w:rsid w:val="43B509CE"/>
    <w:rsid w:val="43CF6B92"/>
    <w:rsid w:val="43D315F4"/>
    <w:rsid w:val="43EC14F2"/>
    <w:rsid w:val="43F17AFA"/>
    <w:rsid w:val="43F72B79"/>
    <w:rsid w:val="43F81C45"/>
    <w:rsid w:val="43FD779D"/>
    <w:rsid w:val="43FF1225"/>
    <w:rsid w:val="4453331F"/>
    <w:rsid w:val="446D6CF6"/>
    <w:rsid w:val="447E0BC6"/>
    <w:rsid w:val="450903AA"/>
    <w:rsid w:val="451231DA"/>
    <w:rsid w:val="45371B5A"/>
    <w:rsid w:val="45684949"/>
    <w:rsid w:val="46115240"/>
    <w:rsid w:val="463D7DE3"/>
    <w:rsid w:val="47226FEC"/>
    <w:rsid w:val="47CF7161"/>
    <w:rsid w:val="48081689"/>
    <w:rsid w:val="480D1A37"/>
    <w:rsid w:val="48352946"/>
    <w:rsid w:val="484B55FB"/>
    <w:rsid w:val="48735DEA"/>
    <w:rsid w:val="4899654F"/>
    <w:rsid w:val="48E34718"/>
    <w:rsid w:val="490A6053"/>
    <w:rsid w:val="49865F45"/>
    <w:rsid w:val="49A6734F"/>
    <w:rsid w:val="49B303BC"/>
    <w:rsid w:val="49C12AD9"/>
    <w:rsid w:val="49D547D7"/>
    <w:rsid w:val="49FE5ADB"/>
    <w:rsid w:val="4A02381D"/>
    <w:rsid w:val="4A3414FD"/>
    <w:rsid w:val="4A997D17"/>
    <w:rsid w:val="4AB34B18"/>
    <w:rsid w:val="4B08477A"/>
    <w:rsid w:val="4B991F60"/>
    <w:rsid w:val="4BAF1783"/>
    <w:rsid w:val="4BC13264"/>
    <w:rsid w:val="4BE147BB"/>
    <w:rsid w:val="4C453E95"/>
    <w:rsid w:val="4D136D35"/>
    <w:rsid w:val="4D41465D"/>
    <w:rsid w:val="4D714816"/>
    <w:rsid w:val="4D8428FD"/>
    <w:rsid w:val="4DCE6681"/>
    <w:rsid w:val="4DE17BEE"/>
    <w:rsid w:val="4EBB043F"/>
    <w:rsid w:val="4F5D14F6"/>
    <w:rsid w:val="4F740417"/>
    <w:rsid w:val="4FA709C3"/>
    <w:rsid w:val="4FD277EE"/>
    <w:rsid w:val="50AD025B"/>
    <w:rsid w:val="50D9116C"/>
    <w:rsid w:val="510B49A5"/>
    <w:rsid w:val="513C4B20"/>
    <w:rsid w:val="51595C5F"/>
    <w:rsid w:val="51786173"/>
    <w:rsid w:val="517B3579"/>
    <w:rsid w:val="51B64EEE"/>
    <w:rsid w:val="52D34079"/>
    <w:rsid w:val="52F67C97"/>
    <w:rsid w:val="532C190B"/>
    <w:rsid w:val="5424349B"/>
    <w:rsid w:val="542C1497"/>
    <w:rsid w:val="54A13C33"/>
    <w:rsid w:val="54CB0CB0"/>
    <w:rsid w:val="54F75F49"/>
    <w:rsid w:val="55B31E70"/>
    <w:rsid w:val="564E7DEA"/>
    <w:rsid w:val="566040EB"/>
    <w:rsid w:val="56D04FF1"/>
    <w:rsid w:val="56E40F2C"/>
    <w:rsid w:val="56F00EA2"/>
    <w:rsid w:val="57122BC6"/>
    <w:rsid w:val="574B4B0E"/>
    <w:rsid w:val="575E18B8"/>
    <w:rsid w:val="57802226"/>
    <w:rsid w:val="578E4942"/>
    <w:rsid w:val="57FB18AC"/>
    <w:rsid w:val="57FD5624"/>
    <w:rsid w:val="583733A3"/>
    <w:rsid w:val="58CE0D6F"/>
    <w:rsid w:val="592811D6"/>
    <w:rsid w:val="594352B9"/>
    <w:rsid w:val="597247E0"/>
    <w:rsid w:val="59981AA8"/>
    <w:rsid w:val="59B70A1E"/>
    <w:rsid w:val="5A4E7D67"/>
    <w:rsid w:val="5A5654C0"/>
    <w:rsid w:val="5AA24261"/>
    <w:rsid w:val="5AC35857"/>
    <w:rsid w:val="5AC73CC7"/>
    <w:rsid w:val="5AE44879"/>
    <w:rsid w:val="5AEB5C08"/>
    <w:rsid w:val="5B077BD3"/>
    <w:rsid w:val="5B264E92"/>
    <w:rsid w:val="5B394FE8"/>
    <w:rsid w:val="5B3A093D"/>
    <w:rsid w:val="5B547C51"/>
    <w:rsid w:val="5B726329"/>
    <w:rsid w:val="5B8B2F47"/>
    <w:rsid w:val="5BD3732F"/>
    <w:rsid w:val="5BD82630"/>
    <w:rsid w:val="5BD91F04"/>
    <w:rsid w:val="5D2B0CE7"/>
    <w:rsid w:val="5D6C7225"/>
    <w:rsid w:val="5D722610"/>
    <w:rsid w:val="5D88728B"/>
    <w:rsid w:val="5D8F31C2"/>
    <w:rsid w:val="5E574C22"/>
    <w:rsid w:val="5E6730AC"/>
    <w:rsid w:val="5E9D190F"/>
    <w:rsid w:val="5F6B5569"/>
    <w:rsid w:val="609A7E10"/>
    <w:rsid w:val="61045C75"/>
    <w:rsid w:val="615C33BC"/>
    <w:rsid w:val="618B5A4F"/>
    <w:rsid w:val="61CA2A1B"/>
    <w:rsid w:val="61E84C4F"/>
    <w:rsid w:val="61FE0917"/>
    <w:rsid w:val="628F77C1"/>
    <w:rsid w:val="635A392B"/>
    <w:rsid w:val="635F7193"/>
    <w:rsid w:val="638E6749"/>
    <w:rsid w:val="639C2A18"/>
    <w:rsid w:val="64055F8C"/>
    <w:rsid w:val="6472477D"/>
    <w:rsid w:val="64805613"/>
    <w:rsid w:val="651B533C"/>
    <w:rsid w:val="652E4C63"/>
    <w:rsid w:val="65D75707"/>
    <w:rsid w:val="65ED6717"/>
    <w:rsid w:val="663A3EE7"/>
    <w:rsid w:val="664E50BC"/>
    <w:rsid w:val="66996E60"/>
    <w:rsid w:val="66AF0431"/>
    <w:rsid w:val="671E16BA"/>
    <w:rsid w:val="67AC69E8"/>
    <w:rsid w:val="67D60696"/>
    <w:rsid w:val="68240B23"/>
    <w:rsid w:val="68D97D65"/>
    <w:rsid w:val="69030863"/>
    <w:rsid w:val="69316967"/>
    <w:rsid w:val="693712A3"/>
    <w:rsid w:val="699B2EEF"/>
    <w:rsid w:val="6A5D1F52"/>
    <w:rsid w:val="6A9A557C"/>
    <w:rsid w:val="6AD46F87"/>
    <w:rsid w:val="6AD9782B"/>
    <w:rsid w:val="6B4355EC"/>
    <w:rsid w:val="6B56531F"/>
    <w:rsid w:val="6B5F3E5B"/>
    <w:rsid w:val="6B9E135C"/>
    <w:rsid w:val="6BB20A85"/>
    <w:rsid w:val="6BD67BE6"/>
    <w:rsid w:val="6C0528A2"/>
    <w:rsid w:val="6C2947E2"/>
    <w:rsid w:val="6D1F2AF6"/>
    <w:rsid w:val="6D2B0A2A"/>
    <w:rsid w:val="6D355E35"/>
    <w:rsid w:val="6D372F2F"/>
    <w:rsid w:val="6E121FD9"/>
    <w:rsid w:val="6E1B5CB7"/>
    <w:rsid w:val="6E510020"/>
    <w:rsid w:val="6E5400B2"/>
    <w:rsid w:val="6E6164B5"/>
    <w:rsid w:val="6EBA31BA"/>
    <w:rsid w:val="6EE551AE"/>
    <w:rsid w:val="6F8F7052"/>
    <w:rsid w:val="6FD9207B"/>
    <w:rsid w:val="6FF675F6"/>
    <w:rsid w:val="70147F1E"/>
    <w:rsid w:val="70534214"/>
    <w:rsid w:val="707D334E"/>
    <w:rsid w:val="70853FB1"/>
    <w:rsid w:val="713A4D9B"/>
    <w:rsid w:val="71877958"/>
    <w:rsid w:val="718801FD"/>
    <w:rsid w:val="719A3A8C"/>
    <w:rsid w:val="71A62431"/>
    <w:rsid w:val="71F74767"/>
    <w:rsid w:val="72037883"/>
    <w:rsid w:val="72275320"/>
    <w:rsid w:val="7230179A"/>
    <w:rsid w:val="72A74B53"/>
    <w:rsid w:val="72DE6139"/>
    <w:rsid w:val="7301301E"/>
    <w:rsid w:val="73443770"/>
    <w:rsid w:val="737C5B3F"/>
    <w:rsid w:val="73B1544B"/>
    <w:rsid w:val="73C36FE1"/>
    <w:rsid w:val="74B51309"/>
    <w:rsid w:val="75D91027"/>
    <w:rsid w:val="75DC28C5"/>
    <w:rsid w:val="76172A46"/>
    <w:rsid w:val="763B3A90"/>
    <w:rsid w:val="768014A2"/>
    <w:rsid w:val="76D37824"/>
    <w:rsid w:val="76FD7B4F"/>
    <w:rsid w:val="770A5210"/>
    <w:rsid w:val="77F80E41"/>
    <w:rsid w:val="788A6449"/>
    <w:rsid w:val="78A57D51"/>
    <w:rsid w:val="78E35D19"/>
    <w:rsid w:val="791B5B00"/>
    <w:rsid w:val="795F5CE7"/>
    <w:rsid w:val="796926C2"/>
    <w:rsid w:val="7A0B7D7A"/>
    <w:rsid w:val="7A1B7E60"/>
    <w:rsid w:val="7A2F1845"/>
    <w:rsid w:val="7A7E6A70"/>
    <w:rsid w:val="7ADB1034"/>
    <w:rsid w:val="7B454A69"/>
    <w:rsid w:val="7BAE273F"/>
    <w:rsid w:val="7BDF4EBD"/>
    <w:rsid w:val="7BF344C5"/>
    <w:rsid w:val="7C3A3920"/>
    <w:rsid w:val="7D0050EB"/>
    <w:rsid w:val="7D133070"/>
    <w:rsid w:val="7D18140B"/>
    <w:rsid w:val="7D787377"/>
    <w:rsid w:val="7DEB5D9B"/>
    <w:rsid w:val="7DFD6070"/>
    <w:rsid w:val="7EE34CC4"/>
    <w:rsid w:val="7F707A0A"/>
    <w:rsid w:val="7F912972"/>
    <w:rsid w:val="7F967F89"/>
    <w:rsid w:val="7FB86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黑体" w:asciiTheme="minorAscii" w:hAnsiTheme="minorAscii"/>
      <w:b/>
      <w:kern w:val="44"/>
      <w:sz w:val="36"/>
    </w:rPr>
  </w:style>
  <w:style w:type="paragraph" w:styleId="3">
    <w:name w:val="heading 2"/>
    <w:basedOn w:val="1"/>
    <w:next w:val="1"/>
    <w:unhideWhenUsed/>
    <w:qFormat/>
    <w:uiPriority w:val="0"/>
    <w:pPr>
      <w:keepNext/>
      <w:keepLines/>
      <w:spacing w:before="200" w:beforeLines="0" w:beforeAutospacing="0" w:after="200" w:afterLines="0" w:afterAutospacing="0" w:line="413" w:lineRule="auto"/>
      <w:ind w:firstLine="420" w:firstLineChars="200"/>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5"/>
    <w:basedOn w:val="1"/>
    <w:next w:val="1"/>
    <w:semiHidden/>
    <w:unhideWhenUsed/>
    <w:qFormat/>
    <w:uiPriority w:val="0"/>
    <w:pPr>
      <w:keepNext w:val="0"/>
      <w:keepLines w:val="0"/>
      <w:numPr>
        <w:ilvl w:val="0"/>
        <w:numId w:val="1"/>
      </w:numPr>
      <w:spacing w:beforeLines="0" w:beforeAutospacing="0" w:afterLines="0" w:afterAutospacing="0" w:line="560" w:lineRule="exact"/>
      <w:ind w:firstLine="640"/>
      <w:jc w:val="both"/>
      <w:outlineLvl w:val="4"/>
    </w:p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spacing w:line="580" w:lineRule="exact"/>
      <w:ind w:firstLine="880" w:firstLineChars="200"/>
    </w:pPr>
    <w:rPr>
      <w:rFonts w:ascii="Times New Roman" w:hAnsi="Times New Roman" w:cs="方正仿宋简体"/>
    </w:rPr>
  </w:style>
  <w:style w:type="paragraph" w:styleId="7">
    <w:name w:val="Body Text Indent"/>
    <w:basedOn w:val="1"/>
    <w:qFormat/>
    <w:uiPriority w:val="0"/>
    <w:pPr>
      <w:spacing w:afterLines="0" w:afterAutospacing="0"/>
      <w:ind w:left="0" w:leftChars="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First Indent 2"/>
    <w:basedOn w:val="7"/>
    <w:next w:val="6"/>
    <w:qFormat/>
    <w:uiPriority w:val="0"/>
    <w:pPr>
      <w:spacing w:line="360" w:lineRule="auto"/>
      <w:ind w:left="0" w:leftChars="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引文目录1"/>
    <w:basedOn w:val="1"/>
    <w:next w:val="1"/>
    <w:autoRedefine/>
    <w:qFormat/>
    <w:uiPriority w:val="0"/>
    <w:pPr>
      <w:spacing w:before="100" w:beforeAutospacing="1" w:after="100" w:afterAutospacing="1" w:line="240" w:lineRule="auto"/>
      <w:ind w:left="420" w:leftChars="200" w:firstLine="0" w:firstLineChars="0"/>
    </w:pPr>
    <w:rPr>
      <w:rFonts w:ascii="Times New Roman" w:hAnsi="Times New Roman" w:eastAsia="宋体" w:cs="Times New Roman"/>
      <w:sz w:val="21"/>
      <w:szCs w:val="21"/>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818</Words>
  <Characters>859</Characters>
  <Lines>0</Lines>
  <Paragraphs>0</Paragraphs>
  <TotalTime>28</TotalTime>
  <ScaleCrop>false</ScaleCrop>
  <LinksUpToDate>false</LinksUpToDate>
  <CharactersWithSpaces>1015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2025-04-30T06:59:00Z</dcterms:created>
  <dc:creator>随风</dc:creator>
  <cp:lastModifiedBy>Administrator</cp:lastModifiedBy>
  <dcterms:modified xsi:type="dcterms:W3CDTF">2025-06-27T01:43:07Z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2084F710362D4606BB687928B31FD06A_13</vt:lpwstr>
  </property>
  <property fmtid="{D5CDD505-2E9C-101B-9397-08002B2CF9AE}" pid="4" name="KSOTemplateDocerSaveRecord">
    <vt:lpwstr>eyJoZGlkIjoiMDQ0NTVmZTRkZDU1N2E5NjkxMjY5NWZmZDI4MGI5MWYifQ==</vt:lpwstr>
  </property>
</Properties>
</file>