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B755A"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054277D2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不合格小知识</w:t>
      </w:r>
    </w:p>
    <w:p w14:paraId="2936A889">
      <w:pPr>
        <w:spacing w:line="36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42F1B32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吡唑醚菌酯</w:t>
      </w:r>
    </w:p>
    <w:p w14:paraId="38CB004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吡唑醚菌酯（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pyraclostrobin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，是具有保护、治疗和传导作用的杀菌剂。会引起像推迟衰老、叶片变绿、对生物和非生物胁迫耐受性更好等生理效应，能更有效地利用水和氮。用于防治主要的植物病害，如谷物的小麦壳针孢、柄锈菌、小麦德斯霉菌、肝圆核腔菌、黑麦喙孢菌和麦颖枯病，花生的球腔菌，大豆的线虫病、思茅松毛虫病和大豆锈菌，葡萄的霜霉病和白粉菌，马铃薯和番茄的疫霉病和早疫病，黄瓜的霜霉病和白粉病，香蕉的黑条叶斑病菌，柑橘的痂囊腔菌和球座菌，草坪的纹枯病和腐霉菌。大鼠急性经口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LD50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＞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5000mg/kg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，急性毒性分级为微毒级。对皮肤、眼睛和呼吸道等有刺激作用，无人体全身性中毒报道。食用食品一般不会导致吡唑醚菌酯的急性中毒，但长期食用吡唑醚菌酯超标的食品，对人体健康也有一定影响。</w:t>
      </w:r>
    </w:p>
    <w:p w14:paraId="625C379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联合国粮农组织和世界卫生组织农药残留联席会议（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JMPR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）于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2003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年制定了其日容许摄入量（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ADI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）为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0.03mg/kg bw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，我国《食品安全国家标准食品中农药最大残留限量》（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GB 2763-2021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）中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ADI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值亦为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0.03mg/kg bw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773C91C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毒死蜱</w:t>
      </w:r>
    </w:p>
    <w:p w14:paraId="59AC942B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毒死蜱（chlorpyrifos），又名氯吡硫磷，是一种硫代磷酸酯类有机磷杀虫、杀螨剂，具有良好的触杀、胃毒和熏蒸作用。毒死蜱对蜜蜂、鱼类等水生生物、家蚕有毒。大鼠急性经口毒性试验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</w:t>
      </w:r>
    </w:p>
    <w:p w14:paraId="09120F7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联合国粮农组织和世界卫生组织农药残留联席会议（JMPR）建议其日容许摄入量（ADI）为 0.01mg/kg bw（1999）；急性参考剂量（ARfD）为 0.1mg/kg bw（2004）。</w:t>
      </w:r>
    </w:p>
    <w:p w14:paraId="6C5093E8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丙溴磷</w:t>
      </w:r>
    </w:p>
    <w:p w14:paraId="04BD0F52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丙溴磷（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profenofos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），具有触杀和胃毒作用的非内吸性有机磷类杀虫、杀螨剂，有传 导作用，具有杀卵活性。用于棉花、玉米、甜菜、大豆、马铃薯、蔬菜、烟草等作物，防 治害虫（特别是鳞翅目害虫）和螨。大鼠急性经口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LD50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为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358mg/kg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，急性毒性分级为中 等毒，中毒机制是抑制体内胆碱酯酶活性，从而失去分解乙酰胆碱的功能，致使乙酰胆碱 在生理部位积聚，发生胆碱能神经功能紊乱的一系列症状，包括恶心、呕吐、腹痛、视物 模糊、瞳孔缩小、震颤、肌肉痉挛等。食用食品一般不会导致丙溴磷的急性中毒，但长期 食用丙溴磷超标的食品，对人体健康也有一定影响。 </w:t>
      </w:r>
    </w:p>
    <w:p w14:paraId="266E7A82">
      <w:pPr>
        <w:numPr>
          <w:ilvl w:val="0"/>
          <w:numId w:val="0"/>
        </w:numPr>
        <w:spacing w:line="360" w:lineRule="auto"/>
        <w:ind w:leftChars="0" w:firstLine="480" w:firstLineChars="200"/>
        <w:jc w:val="left"/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联合国粮农组织和世界卫生组织农药残留联席会议（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JMPR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）于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2007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年制定了其日容 许摄入量（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ADI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）为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0.03mg/kg bw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，我国《食品安全国家标准 食品中农药最大残留限量》 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GB 2763-2021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）中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ADI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值亦为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0.03mg/kg bw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 w14:paraId="156B629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敌敌畏</w:t>
      </w:r>
    </w:p>
    <w:p w14:paraId="271A4D57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敌敌畏（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dichlorvos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），是一种高效、速效且广谱的有机磷杀虫剂，具有触杀、胃毒和 熏蒸作用。对热稳定，遇碱分解加快。大鼠急性经口毒性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LD50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为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56~80mg/ kg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，急性毒性 分级为高毒，中毒者潜伏期短，发病快，症状有头晕、头痛、恶心、呕吐、腹痛、腹泻、 流涎、瞳孔缩小、视线模糊，多汗，呼吸困难等。动物试验显示敌敌畏能够导致食管或前 胃鳞状细胞癌，国际癌症研究机构（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IARC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）将其致癌性列入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2B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类，即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―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对人类可能致癌 物质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‖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。食用食品一般不会导致敌敌畏的急性中毒，但长期食用敌敌畏超标的食品，对人 体健康也有一定影响。 </w:t>
      </w:r>
    </w:p>
    <w:p w14:paraId="648742E0">
      <w:pPr>
        <w:numPr>
          <w:ilvl w:val="0"/>
          <w:numId w:val="0"/>
        </w:numPr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联合国粮农组织和世界卫生组织农药残留联席会议（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JMPR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）建议其日容许摄入量（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ADI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）为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0.004mg/kg bw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2011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）；急性参考剂量（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ARfD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）为 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0.1mg/kg bw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</w:t>
      </w: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>2011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C14F9"/>
    <w:multiLevelType w:val="singleLevel"/>
    <w:tmpl w:val="DE2C14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2647"/>
    <w:rsid w:val="04AC66F7"/>
    <w:rsid w:val="04ED5F3F"/>
    <w:rsid w:val="053413AE"/>
    <w:rsid w:val="07104535"/>
    <w:rsid w:val="080005D5"/>
    <w:rsid w:val="08F35ECB"/>
    <w:rsid w:val="0A810C7A"/>
    <w:rsid w:val="0B3D508B"/>
    <w:rsid w:val="0D43418D"/>
    <w:rsid w:val="0DB946A3"/>
    <w:rsid w:val="0F743FC0"/>
    <w:rsid w:val="11DA43B5"/>
    <w:rsid w:val="15066C5A"/>
    <w:rsid w:val="151213EE"/>
    <w:rsid w:val="17A96D1A"/>
    <w:rsid w:val="199E7277"/>
    <w:rsid w:val="1B6A4011"/>
    <w:rsid w:val="1BC643C1"/>
    <w:rsid w:val="1C7068D7"/>
    <w:rsid w:val="1C9416E4"/>
    <w:rsid w:val="1DB01C98"/>
    <w:rsid w:val="1DD0393A"/>
    <w:rsid w:val="207A3083"/>
    <w:rsid w:val="20DB411A"/>
    <w:rsid w:val="2417031D"/>
    <w:rsid w:val="260D4DCA"/>
    <w:rsid w:val="271F49E7"/>
    <w:rsid w:val="28081894"/>
    <w:rsid w:val="2B2D3B07"/>
    <w:rsid w:val="2EEC2087"/>
    <w:rsid w:val="2F3C58B9"/>
    <w:rsid w:val="2FED7E21"/>
    <w:rsid w:val="35326809"/>
    <w:rsid w:val="36082C95"/>
    <w:rsid w:val="39CB53EF"/>
    <w:rsid w:val="42E11075"/>
    <w:rsid w:val="43F44634"/>
    <w:rsid w:val="48192850"/>
    <w:rsid w:val="498461C5"/>
    <w:rsid w:val="4B07151F"/>
    <w:rsid w:val="4BDC0B9E"/>
    <w:rsid w:val="4C0878EB"/>
    <w:rsid w:val="4D205555"/>
    <w:rsid w:val="511C5738"/>
    <w:rsid w:val="5123215C"/>
    <w:rsid w:val="538D684A"/>
    <w:rsid w:val="557412F4"/>
    <w:rsid w:val="5704629F"/>
    <w:rsid w:val="57835B29"/>
    <w:rsid w:val="5914704C"/>
    <w:rsid w:val="5AC8750D"/>
    <w:rsid w:val="5DBB56A2"/>
    <w:rsid w:val="5DDD4078"/>
    <w:rsid w:val="600A5394"/>
    <w:rsid w:val="600D59CC"/>
    <w:rsid w:val="62E336F9"/>
    <w:rsid w:val="63A70E45"/>
    <w:rsid w:val="65D11B09"/>
    <w:rsid w:val="666A04D4"/>
    <w:rsid w:val="67605D48"/>
    <w:rsid w:val="67BB6B2C"/>
    <w:rsid w:val="68A97ACA"/>
    <w:rsid w:val="6B4E1CA7"/>
    <w:rsid w:val="6D1C6039"/>
    <w:rsid w:val="6DED20D1"/>
    <w:rsid w:val="6EA577A6"/>
    <w:rsid w:val="6F0429B4"/>
    <w:rsid w:val="6F7F7475"/>
    <w:rsid w:val="70423584"/>
    <w:rsid w:val="71065CE7"/>
    <w:rsid w:val="71C63114"/>
    <w:rsid w:val="723C1BF7"/>
    <w:rsid w:val="73012639"/>
    <w:rsid w:val="75DC6B6F"/>
    <w:rsid w:val="79EA3FEB"/>
    <w:rsid w:val="7FB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1305</Words>
  <Characters>1529</Characters>
  <Lines>0</Lines>
  <Paragraphs>0</Paragraphs>
  <TotalTime>9</TotalTime>
  <ScaleCrop>false</ScaleCrop>
  <LinksUpToDate>false</LinksUpToDate>
  <CharactersWithSpaces>1578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2022-06-28T01:45:00Z</dcterms:created>
  <dc:creator>Administrator</dc:creator>
  <cp:lastModifiedBy>Administrator</cp:lastModifiedBy>
  <cp:lastPrinted>2025-11-02T10:11:41Z</cp:lastPrinted>
  <dcterms:modified xsi:type="dcterms:W3CDTF">2025-11-02T10:13:13Z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285DA3DC485444EA8B6DD445C7C1202A</vt:lpwstr>
  </property>
  <property fmtid="{D5CDD505-2E9C-101B-9397-08002B2CF9AE}" pid="4" name="KSOTemplateDocerSaveRecord">
    <vt:lpwstr>eyJoZGlkIjoiZWIwNjAzMzlmMzgzMDk2MWIxMTIzYTQ5ZmZjYmJmYzkifQ==</vt:lpwstr>
  </property>
</Properties>
</file>