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</w:tabs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2024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1</w:t>
      </w:r>
      <w:r>
        <w:rPr>
          <w:rFonts w:hint="eastAsia"/>
          <w:sz w:val="30"/>
          <w:szCs w:val="30"/>
        </w:rPr>
        <w:t>月份侯马</w:t>
      </w:r>
      <w:r>
        <w:rPr>
          <w:rFonts w:hint="eastAsia"/>
          <w:sz w:val="30"/>
          <w:szCs w:val="30"/>
          <w:lang w:eastAsia="zh-CN"/>
        </w:rPr>
        <w:t>市城乡供水有限</w:t>
      </w:r>
      <w:r>
        <w:rPr>
          <w:rFonts w:hint="eastAsia"/>
          <w:sz w:val="30"/>
          <w:szCs w:val="30"/>
        </w:rPr>
        <w:t>公司出厂水水质日检常规</w:t>
      </w:r>
      <w:r>
        <w:rPr>
          <w:rFonts w:hint="eastAsia"/>
          <w:sz w:val="30"/>
          <w:szCs w:val="30"/>
          <w:lang w:eastAsia="zh-CN"/>
        </w:rPr>
        <w:t>十</w:t>
      </w:r>
      <w:r>
        <w:rPr>
          <w:rFonts w:hint="eastAsia"/>
          <w:sz w:val="30"/>
          <w:szCs w:val="30"/>
        </w:rPr>
        <w:t>项指标检测结果</w:t>
      </w:r>
    </w:p>
    <w:tbl>
      <w:tblPr>
        <w:tblStyle w:val="2"/>
        <w:tblW w:w="146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0"/>
        <w:gridCol w:w="1038"/>
        <w:gridCol w:w="838"/>
        <w:gridCol w:w="1128"/>
        <w:gridCol w:w="988"/>
        <w:gridCol w:w="1200"/>
        <w:gridCol w:w="1275"/>
        <w:gridCol w:w="1250"/>
        <w:gridCol w:w="1687"/>
        <w:gridCol w:w="1913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63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检测项目</w:t>
            </w:r>
          </w:p>
        </w:tc>
        <w:tc>
          <w:tcPr>
            <w:tcW w:w="103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浑浊度(NTU)</w:t>
            </w:r>
          </w:p>
        </w:tc>
        <w:tc>
          <w:tcPr>
            <w:tcW w:w="83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色度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(度)</w:t>
            </w:r>
          </w:p>
        </w:tc>
        <w:tc>
          <w:tcPr>
            <w:tcW w:w="112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臭和味</w:t>
            </w:r>
          </w:p>
        </w:tc>
        <w:tc>
          <w:tcPr>
            <w:tcW w:w="98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肉眼可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 物</w:t>
            </w:r>
          </w:p>
        </w:tc>
        <w:tc>
          <w:tcPr>
            <w:tcW w:w="247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消毒剂指标</w:t>
            </w:r>
            <w:r>
              <w:rPr>
                <w:rFonts w:hint="eastAsia"/>
                <w:sz w:val="24"/>
              </w:rPr>
              <w:t>(mg/L)</w:t>
            </w:r>
          </w:p>
        </w:tc>
        <w:tc>
          <w:tcPr>
            <w:tcW w:w="125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菌落</w:t>
            </w:r>
            <w:r>
              <w:rPr>
                <w:rFonts w:hint="eastAsia"/>
                <w:sz w:val="24"/>
              </w:rPr>
              <w:t>总数(CFU/mL)</w:t>
            </w:r>
          </w:p>
        </w:tc>
        <w:tc>
          <w:tcPr>
            <w:tcW w:w="168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总大肠</w:t>
            </w:r>
            <w:r>
              <w:rPr>
                <w:rFonts w:hint="eastAsia"/>
                <w:sz w:val="24"/>
                <w:lang w:eastAsia="zh-CN"/>
              </w:rPr>
              <w:t>菌群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(CFU/100mL)</w:t>
            </w:r>
          </w:p>
        </w:tc>
        <w:tc>
          <w:tcPr>
            <w:tcW w:w="191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大肠</w:t>
            </w:r>
            <w:r>
              <w:rPr>
                <w:rFonts w:hint="eastAsia"/>
                <w:sz w:val="24"/>
                <w:lang w:eastAsia="zh-CN"/>
              </w:rPr>
              <w:t>埃希氏</w:t>
            </w:r>
            <w:r>
              <w:rPr>
                <w:rFonts w:hint="eastAsia"/>
                <w:sz w:val="24"/>
              </w:rPr>
              <w:t>菌群(CFU/100mL)</w:t>
            </w:r>
          </w:p>
        </w:tc>
        <w:tc>
          <w:tcPr>
            <w:tcW w:w="172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高锰酸盐指数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（以</w:t>
            </w:r>
            <w:r>
              <w:rPr>
                <w:rFonts w:hint="eastAsia"/>
                <w:sz w:val="24"/>
                <w:lang w:val="en-US" w:eastAsia="zh-CN"/>
              </w:rPr>
              <w:t>O</w:t>
            </w:r>
            <w:r>
              <w:rPr>
                <w:rFonts w:hint="eastAsia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计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(mg/L)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63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83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8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游离氯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二氧化氯</w:t>
            </w:r>
          </w:p>
        </w:tc>
        <w:tc>
          <w:tcPr>
            <w:tcW w:w="12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68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91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72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检测频次</w:t>
            </w:r>
          </w:p>
        </w:tc>
        <w:tc>
          <w:tcPr>
            <w:tcW w:w="1038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83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91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合格次数</w:t>
            </w:r>
          </w:p>
        </w:tc>
        <w:tc>
          <w:tcPr>
            <w:tcW w:w="103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83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91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合格率（%）</w:t>
            </w:r>
          </w:p>
        </w:tc>
        <w:tc>
          <w:tcPr>
            <w:tcW w:w="103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83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91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检测结果</w:t>
            </w:r>
          </w:p>
        </w:tc>
        <w:tc>
          <w:tcPr>
            <w:tcW w:w="103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0.328</w:t>
            </w:r>
            <w:r>
              <w:rPr>
                <w:rFonts w:hint="eastAsia"/>
                <w:color w:val="auto"/>
                <w:sz w:val="24"/>
              </w:rPr>
              <w:t>~</w:t>
            </w:r>
          </w:p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0.825</w:t>
            </w:r>
          </w:p>
        </w:tc>
        <w:tc>
          <w:tcPr>
            <w:tcW w:w="83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</w:rPr>
              <w:t>0~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5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无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无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0.10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0.15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0.20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0.28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4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16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191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0.33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GB5749-20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103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</w:t>
            </w:r>
          </w:p>
        </w:tc>
        <w:tc>
          <w:tcPr>
            <w:tcW w:w="83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≤15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  <w:r>
              <w:rPr>
                <w:rFonts w:hint="eastAsia"/>
                <w:sz w:val="24"/>
                <w:lang w:eastAsia="zh-CN"/>
              </w:rPr>
              <w:t>异臭、异味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0.3≤出厂水≤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0.1≤出厂水≤0.8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≤100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191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4672" w:type="dxa"/>
            <w:gridSpan w:val="11"/>
            <w:noWrap w:val="0"/>
            <w:vAlign w:val="center"/>
          </w:tcPr>
          <w:p>
            <w:pPr>
              <w:ind w:left="720" w:hanging="720" w:hangingChars="300"/>
              <w:jc w:val="left"/>
              <w:rPr>
                <w:rFonts w:hint="eastAsia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>
      <w:pPr>
        <w:spacing w:line="360" w:lineRule="auto"/>
        <w:rPr>
          <w:rFonts w:hint="eastAsia"/>
          <w:sz w:val="30"/>
          <w:szCs w:val="30"/>
        </w:rPr>
      </w:pPr>
    </w:p>
    <w:p>
      <w:pPr>
        <w:spacing w:line="360" w:lineRule="auto"/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2024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1</w:t>
      </w:r>
      <w:r>
        <w:rPr>
          <w:rFonts w:hint="eastAsia"/>
          <w:sz w:val="30"/>
          <w:szCs w:val="30"/>
        </w:rPr>
        <w:t>月份侯马</w:t>
      </w:r>
      <w:r>
        <w:rPr>
          <w:rFonts w:hint="eastAsia"/>
          <w:sz w:val="30"/>
          <w:szCs w:val="30"/>
          <w:lang w:eastAsia="zh-CN"/>
        </w:rPr>
        <w:t>市城乡供水有限</w:t>
      </w:r>
      <w:r>
        <w:rPr>
          <w:rFonts w:hint="eastAsia"/>
          <w:sz w:val="30"/>
          <w:szCs w:val="30"/>
        </w:rPr>
        <w:t>公司管网水水质常规</w:t>
      </w:r>
      <w:r>
        <w:rPr>
          <w:rFonts w:hint="eastAsia"/>
          <w:sz w:val="30"/>
          <w:szCs w:val="30"/>
          <w:lang w:eastAsia="zh-CN"/>
        </w:rPr>
        <w:t>八</w:t>
      </w:r>
      <w:r>
        <w:rPr>
          <w:rFonts w:hint="eastAsia"/>
          <w:sz w:val="30"/>
          <w:szCs w:val="30"/>
        </w:rPr>
        <w:t>项指标检测结果</w:t>
      </w:r>
    </w:p>
    <w:tbl>
      <w:tblPr>
        <w:tblStyle w:val="2"/>
        <w:tblW w:w="144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2"/>
        <w:gridCol w:w="1443"/>
        <w:gridCol w:w="1048"/>
        <w:gridCol w:w="1265"/>
        <w:gridCol w:w="1343"/>
        <w:gridCol w:w="1564"/>
        <w:gridCol w:w="1751"/>
        <w:gridCol w:w="2017"/>
        <w:gridCol w:w="2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89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检测项目</w:t>
            </w:r>
          </w:p>
        </w:tc>
        <w:tc>
          <w:tcPr>
            <w:tcW w:w="144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浑浊度(NTU)</w:t>
            </w:r>
          </w:p>
        </w:tc>
        <w:tc>
          <w:tcPr>
            <w:tcW w:w="104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色度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(度)</w:t>
            </w:r>
          </w:p>
        </w:tc>
        <w:tc>
          <w:tcPr>
            <w:tcW w:w="126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臭和味</w:t>
            </w:r>
          </w:p>
        </w:tc>
        <w:tc>
          <w:tcPr>
            <w:tcW w:w="290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消毒剂指标</w:t>
            </w:r>
            <w:r>
              <w:rPr>
                <w:rFonts w:hint="eastAsia"/>
                <w:sz w:val="24"/>
              </w:rPr>
              <w:t>(mg/L)</w:t>
            </w:r>
          </w:p>
        </w:tc>
        <w:tc>
          <w:tcPr>
            <w:tcW w:w="175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菌落</w:t>
            </w:r>
            <w:r>
              <w:rPr>
                <w:rFonts w:hint="eastAsia"/>
                <w:sz w:val="24"/>
              </w:rPr>
              <w:t>总数(CFU/mL)</w:t>
            </w:r>
          </w:p>
        </w:tc>
        <w:tc>
          <w:tcPr>
            <w:tcW w:w="201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总大肠</w:t>
            </w:r>
            <w:r>
              <w:rPr>
                <w:rFonts w:hint="eastAsia"/>
                <w:sz w:val="24"/>
                <w:lang w:eastAsia="zh-CN"/>
              </w:rPr>
              <w:t>菌群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(CFU/100mL)</w:t>
            </w:r>
          </w:p>
        </w:tc>
        <w:tc>
          <w:tcPr>
            <w:tcW w:w="217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高锰酸盐指数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（以</w:t>
            </w:r>
            <w:r>
              <w:rPr>
                <w:rFonts w:hint="eastAsia"/>
                <w:sz w:val="24"/>
                <w:lang w:val="en-US" w:eastAsia="zh-CN"/>
              </w:rPr>
              <w:t>O</w:t>
            </w:r>
            <w:r>
              <w:rPr>
                <w:rFonts w:hint="eastAsia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计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(mg/L)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892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44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04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6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游离氯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二氧化氯</w:t>
            </w:r>
          </w:p>
        </w:tc>
        <w:tc>
          <w:tcPr>
            <w:tcW w:w="175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201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21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8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检测频次</w:t>
            </w: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01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17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8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合格次数</w:t>
            </w: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01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17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8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合格率（%）</w:t>
            </w: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201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217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8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检测结果</w:t>
            </w: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0.347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0.821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0.02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0.12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0.03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0.18</w:t>
            </w: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39</w:t>
            </w:r>
          </w:p>
        </w:tc>
        <w:tc>
          <w:tcPr>
            <w:tcW w:w="201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</w:t>
            </w:r>
          </w:p>
        </w:tc>
        <w:tc>
          <w:tcPr>
            <w:tcW w:w="217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0.39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89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GB5749-20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≤15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  <w:r>
              <w:rPr>
                <w:rFonts w:hint="eastAsia"/>
                <w:sz w:val="24"/>
                <w:lang w:eastAsia="zh-CN"/>
              </w:rPr>
              <w:t>异臭、异味</w:t>
            </w: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管网水≥0.05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管网水≥0.02</w:t>
            </w: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≤100</w:t>
            </w:r>
          </w:p>
        </w:tc>
        <w:tc>
          <w:tcPr>
            <w:tcW w:w="201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217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≤3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890" w:right="1440" w:bottom="89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ZTU3NTQ1N2UyNmMyMDJkMmQ5MWYyMGNmYTFjYjIifQ=="/>
  </w:docVars>
  <w:rsids>
    <w:rsidRoot w:val="60A62F89"/>
    <w:rsid w:val="082F5B98"/>
    <w:rsid w:val="0ED4418C"/>
    <w:rsid w:val="1A3E7DCD"/>
    <w:rsid w:val="60A62F89"/>
    <w:rsid w:val="631F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2024-01-02T07:58:00Z</dcterms:created>
  <dc:creator>Administrator</dc:creator>
  <cp:lastModifiedBy>Administrator</cp:lastModifiedBy>
  <dcterms:modified xsi:type="dcterms:W3CDTF">2024-02-04T03:43:51Z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17B6A31DCF854391BCF97956AF30ADE9_11</vt:lpwstr>
  </property>
</Properties>
</file>