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EEDD9A">
      <w:pPr>
        <w:tabs>
          <w:tab w:val="left" w:pos="2310"/>
        </w:tabs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2024</w:t>
      </w:r>
      <w:r>
        <w:rPr>
          <w:rFonts w:hint="eastAsia"/>
          <w:sz w:val="30"/>
          <w:szCs w:val="30"/>
        </w:rPr>
        <w:t>年</w:t>
      </w:r>
      <w:r>
        <w:rPr>
          <w:rFonts w:hint="eastAsia"/>
          <w:sz w:val="30"/>
          <w:szCs w:val="30"/>
          <w:lang w:val="en-US" w:eastAsia="zh-CN"/>
        </w:rPr>
        <w:t>12</w:t>
      </w:r>
      <w:r>
        <w:rPr>
          <w:rFonts w:hint="eastAsia"/>
          <w:sz w:val="30"/>
          <w:szCs w:val="30"/>
        </w:rPr>
        <w:t>月份侯马</w:t>
      </w:r>
      <w:r>
        <w:rPr>
          <w:rFonts w:hint="eastAsia"/>
          <w:sz w:val="30"/>
          <w:szCs w:val="30"/>
          <w:lang w:eastAsia="zh-CN"/>
        </w:rPr>
        <w:t>市城乡供水有限</w:t>
      </w:r>
      <w:r>
        <w:rPr>
          <w:rFonts w:hint="eastAsia"/>
          <w:sz w:val="30"/>
          <w:szCs w:val="30"/>
        </w:rPr>
        <w:t>公司出厂水水质日检常规</w:t>
      </w:r>
      <w:r>
        <w:rPr>
          <w:rFonts w:hint="eastAsia"/>
          <w:sz w:val="30"/>
          <w:szCs w:val="30"/>
          <w:lang w:eastAsia="zh-CN"/>
        </w:rPr>
        <w:t>十</w:t>
      </w:r>
      <w:r>
        <w:rPr>
          <w:rFonts w:hint="eastAsia"/>
          <w:sz w:val="30"/>
          <w:szCs w:val="30"/>
        </w:rPr>
        <w:t>项指标检测结果</w:t>
      </w:r>
    </w:p>
    <w:tbl>
      <w:tblPr>
        <w:tblStyle w:val="2"/>
        <w:tblW w:w="155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2"/>
        <w:gridCol w:w="982"/>
        <w:gridCol w:w="804"/>
        <w:gridCol w:w="1119"/>
        <w:gridCol w:w="981"/>
        <w:gridCol w:w="883"/>
        <w:gridCol w:w="1285"/>
        <w:gridCol w:w="1296"/>
        <w:gridCol w:w="1323"/>
        <w:gridCol w:w="1677"/>
        <w:gridCol w:w="1909"/>
        <w:gridCol w:w="1707"/>
      </w:tblGrid>
      <w:tr w14:paraId="15F68C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1632" w:type="dxa"/>
            <w:vMerge w:val="restart"/>
            <w:noWrap w:val="0"/>
            <w:vAlign w:val="center"/>
          </w:tcPr>
          <w:p w14:paraId="72DE2E4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检测项目</w:t>
            </w:r>
          </w:p>
        </w:tc>
        <w:tc>
          <w:tcPr>
            <w:tcW w:w="982" w:type="dxa"/>
            <w:vMerge w:val="restart"/>
            <w:noWrap w:val="0"/>
            <w:vAlign w:val="center"/>
          </w:tcPr>
          <w:p w14:paraId="17A72FE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浑浊度(NTU)</w:t>
            </w:r>
          </w:p>
        </w:tc>
        <w:tc>
          <w:tcPr>
            <w:tcW w:w="804" w:type="dxa"/>
            <w:vMerge w:val="restart"/>
            <w:noWrap w:val="0"/>
            <w:vAlign w:val="center"/>
          </w:tcPr>
          <w:p w14:paraId="14A4387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色度</w:t>
            </w:r>
          </w:p>
          <w:p w14:paraId="7852380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(度)</w:t>
            </w:r>
          </w:p>
        </w:tc>
        <w:tc>
          <w:tcPr>
            <w:tcW w:w="1119" w:type="dxa"/>
            <w:vMerge w:val="restart"/>
            <w:noWrap w:val="0"/>
            <w:vAlign w:val="center"/>
          </w:tcPr>
          <w:p w14:paraId="6174EFAF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臭和味</w:t>
            </w:r>
          </w:p>
        </w:tc>
        <w:tc>
          <w:tcPr>
            <w:tcW w:w="981" w:type="dxa"/>
            <w:vMerge w:val="restart"/>
            <w:noWrap w:val="0"/>
            <w:vAlign w:val="center"/>
          </w:tcPr>
          <w:p w14:paraId="4B49A11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肉眼</w:t>
            </w:r>
          </w:p>
          <w:p w14:paraId="3B589D0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可见物</w:t>
            </w:r>
          </w:p>
        </w:tc>
        <w:tc>
          <w:tcPr>
            <w:tcW w:w="883" w:type="dxa"/>
            <w:vMerge w:val="restart"/>
            <w:noWrap w:val="0"/>
            <w:vAlign w:val="center"/>
          </w:tcPr>
          <w:p w14:paraId="0F6BB010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pH</w:t>
            </w:r>
          </w:p>
        </w:tc>
        <w:tc>
          <w:tcPr>
            <w:tcW w:w="2581" w:type="dxa"/>
            <w:gridSpan w:val="2"/>
            <w:noWrap w:val="0"/>
            <w:vAlign w:val="center"/>
          </w:tcPr>
          <w:p w14:paraId="258F4BC9">
            <w:pPr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消毒剂指标</w:t>
            </w:r>
            <w:r>
              <w:rPr>
                <w:rFonts w:hint="eastAsia"/>
                <w:sz w:val="24"/>
              </w:rPr>
              <w:t>(mg/L)</w:t>
            </w:r>
          </w:p>
        </w:tc>
        <w:tc>
          <w:tcPr>
            <w:tcW w:w="1323" w:type="dxa"/>
            <w:vMerge w:val="restart"/>
            <w:noWrap w:val="0"/>
            <w:vAlign w:val="center"/>
          </w:tcPr>
          <w:p w14:paraId="5F8DEF6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菌落</w:t>
            </w:r>
            <w:r>
              <w:rPr>
                <w:rFonts w:hint="eastAsia"/>
                <w:sz w:val="24"/>
              </w:rPr>
              <w:t>总数(CFU/mL)</w:t>
            </w:r>
          </w:p>
        </w:tc>
        <w:tc>
          <w:tcPr>
            <w:tcW w:w="1677" w:type="dxa"/>
            <w:vMerge w:val="restart"/>
            <w:noWrap w:val="0"/>
            <w:vAlign w:val="center"/>
          </w:tcPr>
          <w:p w14:paraId="3F40C562"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总大肠</w:t>
            </w:r>
            <w:r>
              <w:rPr>
                <w:rFonts w:hint="eastAsia"/>
                <w:sz w:val="24"/>
                <w:lang w:eastAsia="zh-CN"/>
              </w:rPr>
              <w:t>菌群</w:t>
            </w:r>
          </w:p>
          <w:p w14:paraId="120D6A8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(CFU/100mL)</w:t>
            </w:r>
          </w:p>
        </w:tc>
        <w:tc>
          <w:tcPr>
            <w:tcW w:w="1909" w:type="dxa"/>
            <w:vMerge w:val="restart"/>
            <w:noWrap w:val="0"/>
            <w:vAlign w:val="center"/>
          </w:tcPr>
          <w:p w14:paraId="104E085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大肠</w:t>
            </w:r>
            <w:r>
              <w:rPr>
                <w:rFonts w:hint="eastAsia"/>
                <w:sz w:val="24"/>
                <w:lang w:eastAsia="zh-CN"/>
              </w:rPr>
              <w:t>埃希氏</w:t>
            </w:r>
            <w:r>
              <w:rPr>
                <w:rFonts w:hint="eastAsia"/>
                <w:sz w:val="24"/>
              </w:rPr>
              <w:t>菌群(CFU/100mL)</w:t>
            </w:r>
          </w:p>
        </w:tc>
        <w:tc>
          <w:tcPr>
            <w:tcW w:w="1707" w:type="dxa"/>
            <w:vMerge w:val="restart"/>
            <w:noWrap w:val="0"/>
            <w:vAlign w:val="center"/>
          </w:tcPr>
          <w:p w14:paraId="650BAA81">
            <w:pPr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高锰酸盐指数</w:t>
            </w:r>
          </w:p>
          <w:p w14:paraId="44CB18B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（以</w:t>
            </w:r>
            <w:r>
              <w:rPr>
                <w:rFonts w:hint="eastAsia"/>
                <w:sz w:val="24"/>
                <w:lang w:val="en-US" w:eastAsia="zh-CN"/>
              </w:rPr>
              <w:t>O</w:t>
            </w:r>
            <w:r>
              <w:rPr>
                <w:rFonts w:hint="eastAsia"/>
                <w:sz w:val="24"/>
                <w:vertAlign w:val="subscript"/>
                <w:lang w:val="en-US" w:eastAsia="zh-CN"/>
              </w:rPr>
              <w:t>2</w:t>
            </w:r>
            <w:r>
              <w:rPr>
                <w:rFonts w:hint="eastAsia"/>
                <w:sz w:val="24"/>
                <w:lang w:val="en-US" w:eastAsia="zh-CN"/>
              </w:rPr>
              <w:t>计</w:t>
            </w:r>
            <w:r>
              <w:rPr>
                <w:rFonts w:hint="eastAsia"/>
                <w:sz w:val="24"/>
                <w:lang w:eastAsia="zh-CN"/>
              </w:rPr>
              <w:t>）</w:t>
            </w:r>
            <w:r>
              <w:rPr>
                <w:rFonts w:hint="eastAsia"/>
                <w:sz w:val="24"/>
              </w:rPr>
              <w:t>(mg/L)</w:t>
            </w:r>
          </w:p>
        </w:tc>
      </w:tr>
      <w:tr w14:paraId="6DA7D9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1632" w:type="dxa"/>
            <w:vMerge w:val="continue"/>
            <w:noWrap w:val="0"/>
            <w:vAlign w:val="center"/>
          </w:tcPr>
          <w:p w14:paraId="5FD43A3B">
            <w:pPr>
              <w:jc w:val="center"/>
            </w:pPr>
          </w:p>
        </w:tc>
        <w:tc>
          <w:tcPr>
            <w:tcW w:w="982" w:type="dxa"/>
            <w:vMerge w:val="continue"/>
            <w:noWrap w:val="0"/>
            <w:vAlign w:val="center"/>
          </w:tcPr>
          <w:p w14:paraId="0E5113BC">
            <w:pPr>
              <w:jc w:val="center"/>
            </w:pPr>
          </w:p>
        </w:tc>
        <w:tc>
          <w:tcPr>
            <w:tcW w:w="804" w:type="dxa"/>
            <w:vMerge w:val="continue"/>
            <w:noWrap w:val="0"/>
            <w:vAlign w:val="center"/>
          </w:tcPr>
          <w:p w14:paraId="1B6CE742">
            <w:pPr>
              <w:jc w:val="center"/>
            </w:pPr>
          </w:p>
        </w:tc>
        <w:tc>
          <w:tcPr>
            <w:tcW w:w="1119" w:type="dxa"/>
            <w:vMerge w:val="continue"/>
            <w:noWrap w:val="0"/>
            <w:vAlign w:val="center"/>
          </w:tcPr>
          <w:p w14:paraId="52C4B679">
            <w:pPr>
              <w:jc w:val="center"/>
            </w:pPr>
          </w:p>
        </w:tc>
        <w:tc>
          <w:tcPr>
            <w:tcW w:w="981" w:type="dxa"/>
            <w:vMerge w:val="continue"/>
            <w:noWrap w:val="0"/>
            <w:vAlign w:val="center"/>
          </w:tcPr>
          <w:p w14:paraId="4199D675">
            <w:pPr>
              <w:jc w:val="center"/>
            </w:pPr>
          </w:p>
        </w:tc>
        <w:tc>
          <w:tcPr>
            <w:tcW w:w="883" w:type="dxa"/>
            <w:vMerge w:val="continue"/>
            <w:noWrap w:val="0"/>
            <w:vAlign w:val="center"/>
          </w:tcPr>
          <w:p w14:paraId="4D2F83D1">
            <w:pPr>
              <w:jc w:val="center"/>
            </w:pPr>
          </w:p>
        </w:tc>
        <w:tc>
          <w:tcPr>
            <w:tcW w:w="1285" w:type="dxa"/>
            <w:noWrap w:val="0"/>
            <w:vAlign w:val="center"/>
          </w:tcPr>
          <w:p w14:paraId="08A441C9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eastAsia="zh-CN"/>
              </w:rPr>
              <w:t>游离氯</w:t>
            </w:r>
          </w:p>
        </w:tc>
        <w:tc>
          <w:tcPr>
            <w:tcW w:w="1296" w:type="dxa"/>
            <w:noWrap w:val="0"/>
            <w:vAlign w:val="center"/>
          </w:tcPr>
          <w:p w14:paraId="44286AD4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eastAsia="zh-CN"/>
              </w:rPr>
              <w:t>二氧化氯</w:t>
            </w:r>
          </w:p>
        </w:tc>
        <w:tc>
          <w:tcPr>
            <w:tcW w:w="1323" w:type="dxa"/>
            <w:vMerge w:val="continue"/>
            <w:noWrap w:val="0"/>
            <w:vAlign w:val="center"/>
          </w:tcPr>
          <w:p w14:paraId="0BA657B5"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</w:p>
        </w:tc>
        <w:tc>
          <w:tcPr>
            <w:tcW w:w="1677" w:type="dxa"/>
            <w:vMerge w:val="continue"/>
            <w:noWrap w:val="0"/>
            <w:vAlign w:val="center"/>
          </w:tcPr>
          <w:p w14:paraId="56E6DD77"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</w:p>
        </w:tc>
        <w:tc>
          <w:tcPr>
            <w:tcW w:w="1909" w:type="dxa"/>
            <w:vMerge w:val="continue"/>
            <w:noWrap w:val="0"/>
            <w:vAlign w:val="center"/>
          </w:tcPr>
          <w:p w14:paraId="6E985D46"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</w:p>
        </w:tc>
        <w:tc>
          <w:tcPr>
            <w:tcW w:w="1707" w:type="dxa"/>
            <w:vMerge w:val="continue"/>
            <w:noWrap w:val="0"/>
            <w:vAlign w:val="center"/>
          </w:tcPr>
          <w:p w14:paraId="1C1F75BF"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</w:p>
        </w:tc>
      </w:tr>
      <w:tr w14:paraId="592057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1632" w:type="dxa"/>
            <w:noWrap w:val="0"/>
            <w:vAlign w:val="center"/>
          </w:tcPr>
          <w:p w14:paraId="4F7F91D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检测频次</w:t>
            </w:r>
          </w:p>
        </w:tc>
        <w:tc>
          <w:tcPr>
            <w:tcW w:w="982" w:type="dxa"/>
            <w:noWrap w:val="0"/>
            <w:vAlign w:val="center"/>
          </w:tcPr>
          <w:p w14:paraId="01CE08FA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804" w:type="dxa"/>
            <w:noWrap w:val="0"/>
            <w:vAlign w:val="center"/>
          </w:tcPr>
          <w:p w14:paraId="4301F678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1119" w:type="dxa"/>
            <w:noWrap w:val="0"/>
            <w:vAlign w:val="center"/>
          </w:tcPr>
          <w:p w14:paraId="67F7B2F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981" w:type="dxa"/>
            <w:noWrap w:val="0"/>
            <w:vAlign w:val="center"/>
          </w:tcPr>
          <w:p w14:paraId="188E0EDA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883" w:type="dxa"/>
            <w:noWrap w:val="0"/>
            <w:vAlign w:val="center"/>
          </w:tcPr>
          <w:p w14:paraId="47BCC870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1285" w:type="dxa"/>
            <w:noWrap w:val="0"/>
            <w:vAlign w:val="center"/>
          </w:tcPr>
          <w:p w14:paraId="0740E5D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1296" w:type="dxa"/>
            <w:noWrap w:val="0"/>
            <w:vAlign w:val="center"/>
          </w:tcPr>
          <w:p w14:paraId="60190C7A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1323" w:type="dxa"/>
            <w:noWrap w:val="0"/>
            <w:vAlign w:val="center"/>
          </w:tcPr>
          <w:p w14:paraId="31C15F58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1677" w:type="dxa"/>
            <w:noWrap w:val="0"/>
            <w:vAlign w:val="center"/>
          </w:tcPr>
          <w:p w14:paraId="33E5C5F9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1909" w:type="dxa"/>
            <w:noWrap w:val="0"/>
            <w:vAlign w:val="center"/>
          </w:tcPr>
          <w:p w14:paraId="66DE67E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1707" w:type="dxa"/>
            <w:noWrap w:val="0"/>
            <w:vAlign w:val="center"/>
          </w:tcPr>
          <w:p w14:paraId="13FC10A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</w:tr>
      <w:tr w14:paraId="250A4A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1632" w:type="dxa"/>
            <w:noWrap w:val="0"/>
            <w:vAlign w:val="center"/>
          </w:tcPr>
          <w:p w14:paraId="47DB0FB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合格次数</w:t>
            </w:r>
          </w:p>
        </w:tc>
        <w:tc>
          <w:tcPr>
            <w:tcW w:w="982" w:type="dxa"/>
            <w:noWrap w:val="0"/>
            <w:vAlign w:val="center"/>
          </w:tcPr>
          <w:p w14:paraId="4F40921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804" w:type="dxa"/>
            <w:noWrap w:val="0"/>
            <w:vAlign w:val="center"/>
          </w:tcPr>
          <w:p w14:paraId="7FF4586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1119" w:type="dxa"/>
            <w:noWrap w:val="0"/>
            <w:vAlign w:val="center"/>
          </w:tcPr>
          <w:p w14:paraId="2994869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981" w:type="dxa"/>
            <w:noWrap w:val="0"/>
            <w:vAlign w:val="center"/>
          </w:tcPr>
          <w:p w14:paraId="36591F26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883" w:type="dxa"/>
            <w:noWrap w:val="0"/>
            <w:vAlign w:val="center"/>
          </w:tcPr>
          <w:p w14:paraId="585AC96F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1285" w:type="dxa"/>
            <w:noWrap w:val="0"/>
            <w:vAlign w:val="center"/>
          </w:tcPr>
          <w:p w14:paraId="37E1EFB9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1296" w:type="dxa"/>
            <w:noWrap w:val="0"/>
            <w:vAlign w:val="center"/>
          </w:tcPr>
          <w:p w14:paraId="0A59779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1323" w:type="dxa"/>
            <w:noWrap w:val="0"/>
            <w:vAlign w:val="center"/>
          </w:tcPr>
          <w:p w14:paraId="107DA619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1677" w:type="dxa"/>
            <w:noWrap w:val="0"/>
            <w:vAlign w:val="center"/>
          </w:tcPr>
          <w:p w14:paraId="64ACF75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1909" w:type="dxa"/>
            <w:noWrap w:val="0"/>
            <w:vAlign w:val="center"/>
          </w:tcPr>
          <w:p w14:paraId="1E948A29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1707" w:type="dxa"/>
            <w:noWrap w:val="0"/>
            <w:vAlign w:val="center"/>
          </w:tcPr>
          <w:p w14:paraId="1E82212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</w:tr>
      <w:tr w14:paraId="562160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1632" w:type="dxa"/>
            <w:noWrap w:val="0"/>
            <w:vAlign w:val="center"/>
          </w:tcPr>
          <w:p w14:paraId="52EC81C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合格率（%）</w:t>
            </w:r>
          </w:p>
        </w:tc>
        <w:tc>
          <w:tcPr>
            <w:tcW w:w="982" w:type="dxa"/>
            <w:noWrap w:val="0"/>
            <w:vAlign w:val="center"/>
          </w:tcPr>
          <w:p w14:paraId="67367BD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804" w:type="dxa"/>
            <w:noWrap w:val="0"/>
            <w:vAlign w:val="center"/>
          </w:tcPr>
          <w:p w14:paraId="5BF3BA5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119" w:type="dxa"/>
            <w:noWrap w:val="0"/>
            <w:vAlign w:val="center"/>
          </w:tcPr>
          <w:p w14:paraId="7C2498A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981" w:type="dxa"/>
            <w:noWrap w:val="0"/>
            <w:vAlign w:val="center"/>
          </w:tcPr>
          <w:p w14:paraId="10F91618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883" w:type="dxa"/>
            <w:noWrap w:val="0"/>
            <w:vAlign w:val="center"/>
          </w:tcPr>
          <w:p w14:paraId="27E4ED86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100%</w:t>
            </w:r>
          </w:p>
        </w:tc>
        <w:tc>
          <w:tcPr>
            <w:tcW w:w="1285" w:type="dxa"/>
            <w:noWrap w:val="0"/>
            <w:vAlign w:val="center"/>
          </w:tcPr>
          <w:p w14:paraId="059E05AF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296" w:type="dxa"/>
            <w:noWrap w:val="0"/>
            <w:vAlign w:val="center"/>
          </w:tcPr>
          <w:p w14:paraId="03F22AD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323" w:type="dxa"/>
            <w:noWrap w:val="0"/>
            <w:vAlign w:val="center"/>
          </w:tcPr>
          <w:p w14:paraId="2C97C5E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677" w:type="dxa"/>
            <w:noWrap w:val="0"/>
            <w:vAlign w:val="center"/>
          </w:tcPr>
          <w:p w14:paraId="1882AF6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909" w:type="dxa"/>
            <w:noWrap w:val="0"/>
            <w:vAlign w:val="center"/>
          </w:tcPr>
          <w:p w14:paraId="1370E4F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707" w:type="dxa"/>
            <w:noWrap w:val="0"/>
            <w:vAlign w:val="center"/>
          </w:tcPr>
          <w:p w14:paraId="5F250CF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</w:tr>
      <w:tr w14:paraId="29F7D1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1632" w:type="dxa"/>
            <w:noWrap w:val="0"/>
            <w:vAlign w:val="center"/>
          </w:tcPr>
          <w:p w14:paraId="133DB3D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检测结果</w:t>
            </w:r>
          </w:p>
        </w:tc>
        <w:tc>
          <w:tcPr>
            <w:tcW w:w="982" w:type="dxa"/>
            <w:noWrap w:val="0"/>
            <w:vAlign w:val="center"/>
          </w:tcPr>
          <w:p w14:paraId="27D0E5E1"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0.219</w:t>
            </w:r>
            <w:r>
              <w:rPr>
                <w:rFonts w:hint="eastAsia"/>
                <w:color w:val="auto"/>
                <w:sz w:val="24"/>
              </w:rPr>
              <w:t>~</w:t>
            </w:r>
          </w:p>
          <w:p w14:paraId="1E29E035">
            <w:pPr>
              <w:jc w:val="center"/>
              <w:rPr>
                <w:rFonts w:hint="default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0.784</w:t>
            </w:r>
          </w:p>
        </w:tc>
        <w:tc>
          <w:tcPr>
            <w:tcW w:w="804" w:type="dxa"/>
            <w:noWrap w:val="0"/>
            <w:vAlign w:val="center"/>
          </w:tcPr>
          <w:p w14:paraId="5A3AD8EE">
            <w:pPr>
              <w:jc w:val="center"/>
              <w:rPr>
                <w:rFonts w:hint="eastAsia" w:eastAsia="宋体"/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</w:rPr>
              <w:t>0~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3</w:t>
            </w:r>
          </w:p>
        </w:tc>
        <w:tc>
          <w:tcPr>
            <w:tcW w:w="1119" w:type="dxa"/>
            <w:noWrap w:val="0"/>
            <w:vAlign w:val="center"/>
          </w:tcPr>
          <w:p w14:paraId="515ED0E9"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无</w:t>
            </w:r>
          </w:p>
        </w:tc>
        <w:tc>
          <w:tcPr>
            <w:tcW w:w="981" w:type="dxa"/>
            <w:noWrap w:val="0"/>
            <w:vAlign w:val="center"/>
          </w:tcPr>
          <w:p w14:paraId="0B8C7921"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z w:val="24"/>
              </w:rPr>
              <w:t>无</w:t>
            </w:r>
          </w:p>
        </w:tc>
        <w:tc>
          <w:tcPr>
            <w:tcW w:w="883" w:type="dxa"/>
            <w:noWrap w:val="0"/>
            <w:vAlign w:val="center"/>
          </w:tcPr>
          <w:p w14:paraId="2DDE4091">
            <w:pPr>
              <w:jc w:val="center"/>
              <w:rPr>
                <w:rFonts w:hint="default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7.04</w:t>
            </w:r>
            <w:r>
              <w:rPr>
                <w:rFonts w:hint="eastAsia"/>
                <w:color w:val="auto"/>
                <w:sz w:val="24"/>
              </w:rPr>
              <w:t>~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7.69</w:t>
            </w:r>
          </w:p>
        </w:tc>
        <w:tc>
          <w:tcPr>
            <w:tcW w:w="1285" w:type="dxa"/>
            <w:noWrap w:val="0"/>
            <w:vAlign w:val="center"/>
          </w:tcPr>
          <w:p w14:paraId="117394AE">
            <w:pPr>
              <w:jc w:val="center"/>
              <w:rPr>
                <w:rFonts w:hint="default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0.10</w:t>
            </w:r>
            <w:r>
              <w:rPr>
                <w:rFonts w:hint="eastAsia"/>
                <w:color w:val="auto"/>
                <w:sz w:val="24"/>
              </w:rPr>
              <w:t>~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0.17</w:t>
            </w:r>
          </w:p>
        </w:tc>
        <w:tc>
          <w:tcPr>
            <w:tcW w:w="1296" w:type="dxa"/>
            <w:noWrap w:val="0"/>
            <w:vAlign w:val="center"/>
          </w:tcPr>
          <w:p w14:paraId="78C9FF62">
            <w:pPr>
              <w:jc w:val="center"/>
              <w:rPr>
                <w:rFonts w:hint="default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0.18</w:t>
            </w:r>
            <w:r>
              <w:rPr>
                <w:rFonts w:hint="eastAsia"/>
                <w:color w:val="auto"/>
                <w:sz w:val="24"/>
              </w:rPr>
              <w:t>~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0.30</w:t>
            </w:r>
          </w:p>
        </w:tc>
        <w:tc>
          <w:tcPr>
            <w:tcW w:w="1323" w:type="dxa"/>
            <w:noWrap w:val="0"/>
            <w:vAlign w:val="center"/>
          </w:tcPr>
          <w:p w14:paraId="1C1A8204">
            <w:pPr>
              <w:jc w:val="center"/>
              <w:rPr>
                <w:rFonts w:hint="default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7</w:t>
            </w:r>
            <w:r>
              <w:rPr>
                <w:rFonts w:hint="eastAsia"/>
                <w:color w:val="auto"/>
                <w:sz w:val="24"/>
              </w:rPr>
              <w:t>~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26</w:t>
            </w:r>
          </w:p>
        </w:tc>
        <w:tc>
          <w:tcPr>
            <w:tcW w:w="1677" w:type="dxa"/>
            <w:noWrap w:val="0"/>
            <w:vAlign w:val="center"/>
          </w:tcPr>
          <w:p w14:paraId="50FB0AA9">
            <w:pPr>
              <w:jc w:val="center"/>
              <w:rPr>
                <w:rFonts w:hint="eastAsia" w:eastAsia="宋体"/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0</w:t>
            </w:r>
          </w:p>
        </w:tc>
        <w:tc>
          <w:tcPr>
            <w:tcW w:w="1909" w:type="dxa"/>
            <w:noWrap w:val="0"/>
            <w:vAlign w:val="center"/>
          </w:tcPr>
          <w:p w14:paraId="4DCBEDB7">
            <w:pPr>
              <w:jc w:val="center"/>
              <w:rPr>
                <w:rFonts w:hint="eastAsia" w:eastAsia="宋体"/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0</w:t>
            </w:r>
          </w:p>
        </w:tc>
        <w:tc>
          <w:tcPr>
            <w:tcW w:w="1707" w:type="dxa"/>
            <w:noWrap w:val="0"/>
            <w:vAlign w:val="center"/>
          </w:tcPr>
          <w:p w14:paraId="39776F86">
            <w:pPr>
              <w:jc w:val="center"/>
              <w:rPr>
                <w:rFonts w:hint="default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0.38</w:t>
            </w:r>
            <w:r>
              <w:rPr>
                <w:rFonts w:hint="eastAsia"/>
                <w:color w:val="auto"/>
                <w:sz w:val="24"/>
              </w:rPr>
              <w:t>~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0.74</w:t>
            </w:r>
          </w:p>
        </w:tc>
      </w:tr>
      <w:tr w14:paraId="5BAA57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1632" w:type="dxa"/>
            <w:noWrap w:val="0"/>
            <w:vAlign w:val="center"/>
          </w:tcPr>
          <w:p w14:paraId="16A9F230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GB5749-20</w:t>
            </w:r>
            <w:r>
              <w:rPr>
                <w:rFonts w:hint="eastAsia"/>
                <w:sz w:val="24"/>
                <w:lang w:val="en-US" w:eastAsia="zh-CN"/>
              </w:rPr>
              <w:t>22</w:t>
            </w:r>
          </w:p>
        </w:tc>
        <w:tc>
          <w:tcPr>
            <w:tcW w:w="982" w:type="dxa"/>
            <w:noWrap w:val="0"/>
            <w:vAlign w:val="center"/>
          </w:tcPr>
          <w:p w14:paraId="455E4E46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≤1</w:t>
            </w:r>
          </w:p>
        </w:tc>
        <w:tc>
          <w:tcPr>
            <w:tcW w:w="804" w:type="dxa"/>
            <w:noWrap w:val="0"/>
            <w:vAlign w:val="center"/>
          </w:tcPr>
          <w:p w14:paraId="430E6986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≤15</w:t>
            </w:r>
          </w:p>
        </w:tc>
        <w:tc>
          <w:tcPr>
            <w:tcW w:w="1119" w:type="dxa"/>
            <w:noWrap w:val="0"/>
            <w:vAlign w:val="center"/>
          </w:tcPr>
          <w:p w14:paraId="2A5EF177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无</w:t>
            </w:r>
            <w:r>
              <w:rPr>
                <w:rFonts w:hint="eastAsia"/>
                <w:sz w:val="24"/>
                <w:lang w:eastAsia="zh-CN"/>
              </w:rPr>
              <w:t>异臭、异味</w:t>
            </w:r>
          </w:p>
        </w:tc>
        <w:tc>
          <w:tcPr>
            <w:tcW w:w="981" w:type="dxa"/>
            <w:noWrap w:val="0"/>
            <w:vAlign w:val="center"/>
          </w:tcPr>
          <w:p w14:paraId="25280C32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无</w:t>
            </w:r>
          </w:p>
        </w:tc>
        <w:tc>
          <w:tcPr>
            <w:tcW w:w="883" w:type="dxa"/>
            <w:noWrap w:val="0"/>
            <w:vAlign w:val="center"/>
          </w:tcPr>
          <w:p w14:paraId="39F11439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</w:rPr>
              <w:t>6.5－8.5</w:t>
            </w:r>
          </w:p>
        </w:tc>
        <w:tc>
          <w:tcPr>
            <w:tcW w:w="1285" w:type="dxa"/>
            <w:noWrap w:val="0"/>
            <w:vAlign w:val="center"/>
          </w:tcPr>
          <w:p w14:paraId="50E97D5F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</w:rPr>
              <w:t>出厂水≤</w:t>
            </w: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2</w:t>
            </w:r>
          </w:p>
        </w:tc>
        <w:tc>
          <w:tcPr>
            <w:tcW w:w="1296" w:type="dxa"/>
            <w:noWrap w:val="0"/>
            <w:vAlign w:val="center"/>
          </w:tcPr>
          <w:p w14:paraId="4F1B2530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0.1≤出厂水≤0.8</w:t>
            </w:r>
          </w:p>
        </w:tc>
        <w:tc>
          <w:tcPr>
            <w:tcW w:w="1323" w:type="dxa"/>
            <w:noWrap w:val="0"/>
            <w:vAlign w:val="center"/>
          </w:tcPr>
          <w:p w14:paraId="62EC4BC9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≤100</w:t>
            </w:r>
          </w:p>
        </w:tc>
        <w:tc>
          <w:tcPr>
            <w:tcW w:w="1677" w:type="dxa"/>
            <w:noWrap w:val="0"/>
            <w:vAlign w:val="center"/>
          </w:tcPr>
          <w:p w14:paraId="73896ED6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不</w:t>
            </w:r>
            <w:r>
              <w:rPr>
                <w:rFonts w:hint="eastAsia"/>
                <w:sz w:val="24"/>
                <w:lang w:eastAsia="zh-CN"/>
              </w:rPr>
              <w:t>应</w:t>
            </w:r>
            <w:r>
              <w:rPr>
                <w:rFonts w:hint="eastAsia"/>
                <w:sz w:val="24"/>
              </w:rPr>
              <w:t>检出</w:t>
            </w:r>
          </w:p>
        </w:tc>
        <w:tc>
          <w:tcPr>
            <w:tcW w:w="1909" w:type="dxa"/>
            <w:noWrap w:val="0"/>
            <w:vAlign w:val="center"/>
          </w:tcPr>
          <w:p w14:paraId="6ECB16C6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不</w:t>
            </w:r>
            <w:r>
              <w:rPr>
                <w:rFonts w:hint="eastAsia"/>
                <w:sz w:val="24"/>
                <w:lang w:eastAsia="zh-CN"/>
              </w:rPr>
              <w:t>应</w:t>
            </w:r>
            <w:r>
              <w:rPr>
                <w:rFonts w:hint="eastAsia"/>
                <w:sz w:val="24"/>
              </w:rPr>
              <w:t>检出</w:t>
            </w:r>
          </w:p>
        </w:tc>
        <w:tc>
          <w:tcPr>
            <w:tcW w:w="1707" w:type="dxa"/>
            <w:noWrap w:val="0"/>
            <w:vAlign w:val="center"/>
          </w:tcPr>
          <w:p w14:paraId="5F55DD38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≤3</w:t>
            </w:r>
          </w:p>
        </w:tc>
      </w:tr>
      <w:tr w14:paraId="4F9B4F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  <w:jc w:val="center"/>
        </w:trPr>
        <w:tc>
          <w:tcPr>
            <w:tcW w:w="15598" w:type="dxa"/>
            <w:gridSpan w:val="12"/>
            <w:noWrap w:val="0"/>
            <w:vAlign w:val="center"/>
          </w:tcPr>
          <w:p w14:paraId="16FE570C">
            <w:pPr>
              <w:ind w:left="720" w:hanging="720" w:hangingChars="300"/>
              <w:jc w:val="left"/>
              <w:rPr>
                <w:rFonts w:hint="eastAsia"/>
                <w:sz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  <w:t>备注：采用二氧化氯与氯混合消毒剂发生器消毒方式时，应测定二氧化氯和游离氯。两项指标均应满足限值要求，至少一项指标应满足余量要求。</w:t>
            </w:r>
          </w:p>
        </w:tc>
      </w:tr>
    </w:tbl>
    <w:p w14:paraId="04733BC4">
      <w:pPr>
        <w:spacing w:line="360" w:lineRule="auto"/>
        <w:rPr>
          <w:rFonts w:hint="eastAsia"/>
          <w:sz w:val="15"/>
          <w:szCs w:val="15"/>
        </w:rPr>
      </w:pPr>
    </w:p>
    <w:p w14:paraId="7202D6B5">
      <w:pPr>
        <w:spacing w:line="360" w:lineRule="auto"/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2024</w:t>
      </w:r>
      <w:r>
        <w:rPr>
          <w:rFonts w:hint="eastAsia"/>
          <w:sz w:val="30"/>
          <w:szCs w:val="30"/>
        </w:rPr>
        <w:t>年</w:t>
      </w:r>
      <w:r>
        <w:rPr>
          <w:rFonts w:hint="eastAsia"/>
          <w:sz w:val="30"/>
          <w:szCs w:val="30"/>
          <w:lang w:val="en-US" w:eastAsia="zh-CN"/>
        </w:rPr>
        <w:t>12</w:t>
      </w:r>
      <w:r>
        <w:rPr>
          <w:rFonts w:hint="eastAsia"/>
          <w:sz w:val="30"/>
          <w:szCs w:val="30"/>
        </w:rPr>
        <w:t>月份侯马</w:t>
      </w:r>
      <w:r>
        <w:rPr>
          <w:rFonts w:hint="eastAsia"/>
          <w:sz w:val="30"/>
          <w:szCs w:val="30"/>
          <w:lang w:eastAsia="zh-CN"/>
        </w:rPr>
        <w:t>市城乡供水有限</w:t>
      </w:r>
      <w:r>
        <w:rPr>
          <w:rFonts w:hint="eastAsia"/>
          <w:sz w:val="30"/>
          <w:szCs w:val="30"/>
        </w:rPr>
        <w:t>公司管网水水质常规</w:t>
      </w:r>
      <w:r>
        <w:rPr>
          <w:rFonts w:hint="eastAsia"/>
          <w:sz w:val="30"/>
          <w:szCs w:val="30"/>
          <w:lang w:eastAsia="zh-CN"/>
        </w:rPr>
        <w:t>八</w:t>
      </w:r>
      <w:r>
        <w:rPr>
          <w:rFonts w:hint="eastAsia"/>
          <w:sz w:val="30"/>
          <w:szCs w:val="30"/>
        </w:rPr>
        <w:t>项指标检测结果</w:t>
      </w:r>
    </w:p>
    <w:tbl>
      <w:tblPr>
        <w:tblStyle w:val="2"/>
        <w:tblW w:w="155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3"/>
        <w:gridCol w:w="1551"/>
        <w:gridCol w:w="1125"/>
        <w:gridCol w:w="1359"/>
        <w:gridCol w:w="1443"/>
        <w:gridCol w:w="1681"/>
        <w:gridCol w:w="1882"/>
        <w:gridCol w:w="2168"/>
        <w:gridCol w:w="2335"/>
      </w:tblGrid>
      <w:tr w14:paraId="5BAF10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2033" w:type="dxa"/>
            <w:vMerge w:val="restart"/>
            <w:noWrap w:val="0"/>
            <w:vAlign w:val="center"/>
          </w:tcPr>
          <w:p w14:paraId="0BFD0D1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检测项目</w:t>
            </w:r>
          </w:p>
        </w:tc>
        <w:tc>
          <w:tcPr>
            <w:tcW w:w="1551" w:type="dxa"/>
            <w:vMerge w:val="restart"/>
            <w:noWrap w:val="0"/>
            <w:vAlign w:val="center"/>
          </w:tcPr>
          <w:p w14:paraId="651C1C4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浑浊度(NTU)</w:t>
            </w:r>
          </w:p>
        </w:tc>
        <w:tc>
          <w:tcPr>
            <w:tcW w:w="1125" w:type="dxa"/>
            <w:vMerge w:val="restart"/>
            <w:noWrap w:val="0"/>
            <w:vAlign w:val="center"/>
          </w:tcPr>
          <w:p w14:paraId="19F293F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色度</w:t>
            </w:r>
          </w:p>
          <w:p w14:paraId="75D3000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(度)</w:t>
            </w:r>
          </w:p>
        </w:tc>
        <w:tc>
          <w:tcPr>
            <w:tcW w:w="1359" w:type="dxa"/>
            <w:vMerge w:val="restart"/>
            <w:noWrap w:val="0"/>
            <w:vAlign w:val="center"/>
          </w:tcPr>
          <w:p w14:paraId="2268036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臭和味</w:t>
            </w:r>
          </w:p>
        </w:tc>
        <w:tc>
          <w:tcPr>
            <w:tcW w:w="3124" w:type="dxa"/>
            <w:gridSpan w:val="2"/>
            <w:noWrap w:val="0"/>
            <w:vAlign w:val="center"/>
          </w:tcPr>
          <w:p w14:paraId="4AAE0AAE">
            <w:pPr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消毒剂指标</w:t>
            </w:r>
            <w:r>
              <w:rPr>
                <w:rFonts w:hint="eastAsia"/>
                <w:sz w:val="24"/>
              </w:rPr>
              <w:t>(mg/L)</w:t>
            </w:r>
          </w:p>
        </w:tc>
        <w:tc>
          <w:tcPr>
            <w:tcW w:w="1882" w:type="dxa"/>
            <w:vMerge w:val="restart"/>
            <w:noWrap w:val="0"/>
            <w:vAlign w:val="center"/>
          </w:tcPr>
          <w:p w14:paraId="583BB5A9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菌落</w:t>
            </w:r>
            <w:r>
              <w:rPr>
                <w:rFonts w:hint="eastAsia"/>
                <w:sz w:val="24"/>
              </w:rPr>
              <w:t>总数(CFU/mL)</w:t>
            </w:r>
          </w:p>
        </w:tc>
        <w:tc>
          <w:tcPr>
            <w:tcW w:w="2168" w:type="dxa"/>
            <w:vMerge w:val="restart"/>
            <w:noWrap w:val="0"/>
            <w:vAlign w:val="center"/>
          </w:tcPr>
          <w:p w14:paraId="2D118612"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总大肠</w:t>
            </w:r>
            <w:r>
              <w:rPr>
                <w:rFonts w:hint="eastAsia"/>
                <w:sz w:val="24"/>
                <w:lang w:eastAsia="zh-CN"/>
              </w:rPr>
              <w:t>菌群</w:t>
            </w:r>
          </w:p>
          <w:p w14:paraId="6EBBB22F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(CFU/100mL)</w:t>
            </w:r>
          </w:p>
        </w:tc>
        <w:tc>
          <w:tcPr>
            <w:tcW w:w="2335" w:type="dxa"/>
            <w:vMerge w:val="restart"/>
            <w:noWrap w:val="0"/>
            <w:vAlign w:val="center"/>
          </w:tcPr>
          <w:p w14:paraId="3525A918">
            <w:pPr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高锰酸盐指数</w:t>
            </w:r>
          </w:p>
          <w:p w14:paraId="4A6B83C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（以</w:t>
            </w:r>
            <w:r>
              <w:rPr>
                <w:rFonts w:hint="eastAsia"/>
                <w:sz w:val="24"/>
                <w:lang w:val="en-US" w:eastAsia="zh-CN"/>
              </w:rPr>
              <w:t>O</w:t>
            </w:r>
            <w:r>
              <w:rPr>
                <w:rFonts w:hint="eastAsia"/>
                <w:sz w:val="24"/>
                <w:vertAlign w:val="subscript"/>
                <w:lang w:val="en-US" w:eastAsia="zh-CN"/>
              </w:rPr>
              <w:t>2</w:t>
            </w:r>
            <w:r>
              <w:rPr>
                <w:rFonts w:hint="eastAsia"/>
                <w:sz w:val="24"/>
                <w:lang w:val="en-US" w:eastAsia="zh-CN"/>
              </w:rPr>
              <w:t>计</w:t>
            </w:r>
            <w:r>
              <w:rPr>
                <w:rFonts w:hint="eastAsia"/>
                <w:sz w:val="24"/>
                <w:lang w:eastAsia="zh-CN"/>
              </w:rPr>
              <w:t>）</w:t>
            </w:r>
            <w:r>
              <w:rPr>
                <w:rFonts w:hint="eastAsia"/>
                <w:sz w:val="24"/>
              </w:rPr>
              <w:t>(mg/L)</w:t>
            </w:r>
          </w:p>
        </w:tc>
      </w:tr>
      <w:tr w14:paraId="6F59E0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033" w:type="dxa"/>
            <w:vMerge w:val="continue"/>
            <w:noWrap w:val="0"/>
            <w:vAlign w:val="center"/>
          </w:tcPr>
          <w:p w14:paraId="18E330D2">
            <w:pPr>
              <w:jc w:val="center"/>
            </w:pPr>
          </w:p>
        </w:tc>
        <w:tc>
          <w:tcPr>
            <w:tcW w:w="1551" w:type="dxa"/>
            <w:vMerge w:val="continue"/>
            <w:noWrap w:val="0"/>
            <w:vAlign w:val="center"/>
          </w:tcPr>
          <w:p w14:paraId="2F1D6D78">
            <w:pPr>
              <w:jc w:val="center"/>
            </w:pPr>
          </w:p>
        </w:tc>
        <w:tc>
          <w:tcPr>
            <w:tcW w:w="1125" w:type="dxa"/>
            <w:vMerge w:val="continue"/>
            <w:noWrap w:val="0"/>
            <w:vAlign w:val="center"/>
          </w:tcPr>
          <w:p w14:paraId="08941B5B">
            <w:pPr>
              <w:jc w:val="center"/>
            </w:pPr>
          </w:p>
        </w:tc>
        <w:tc>
          <w:tcPr>
            <w:tcW w:w="1359" w:type="dxa"/>
            <w:vMerge w:val="continue"/>
            <w:noWrap w:val="0"/>
            <w:vAlign w:val="center"/>
          </w:tcPr>
          <w:p w14:paraId="3BDEAD0B">
            <w:pPr>
              <w:jc w:val="center"/>
            </w:pPr>
          </w:p>
        </w:tc>
        <w:tc>
          <w:tcPr>
            <w:tcW w:w="1443" w:type="dxa"/>
            <w:noWrap w:val="0"/>
            <w:vAlign w:val="center"/>
          </w:tcPr>
          <w:p w14:paraId="37D39E18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eastAsia="zh-CN"/>
              </w:rPr>
              <w:t>游离氯</w:t>
            </w:r>
          </w:p>
        </w:tc>
        <w:tc>
          <w:tcPr>
            <w:tcW w:w="1681" w:type="dxa"/>
            <w:noWrap w:val="0"/>
            <w:vAlign w:val="center"/>
          </w:tcPr>
          <w:p w14:paraId="21824C01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eastAsia="zh-CN"/>
              </w:rPr>
              <w:t>二氧化氯</w:t>
            </w:r>
          </w:p>
        </w:tc>
        <w:tc>
          <w:tcPr>
            <w:tcW w:w="1882" w:type="dxa"/>
            <w:vMerge w:val="continue"/>
            <w:noWrap w:val="0"/>
            <w:vAlign w:val="center"/>
          </w:tcPr>
          <w:p w14:paraId="2F6F5881"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</w:p>
        </w:tc>
        <w:tc>
          <w:tcPr>
            <w:tcW w:w="2168" w:type="dxa"/>
            <w:vMerge w:val="continue"/>
            <w:noWrap w:val="0"/>
            <w:vAlign w:val="center"/>
          </w:tcPr>
          <w:p w14:paraId="5B23E1BE"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</w:p>
        </w:tc>
        <w:tc>
          <w:tcPr>
            <w:tcW w:w="2335" w:type="dxa"/>
            <w:vMerge w:val="continue"/>
            <w:noWrap w:val="0"/>
            <w:vAlign w:val="center"/>
          </w:tcPr>
          <w:p w14:paraId="26CCD8D3"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</w:p>
        </w:tc>
      </w:tr>
      <w:tr w14:paraId="622415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2033" w:type="dxa"/>
            <w:noWrap w:val="0"/>
            <w:vAlign w:val="center"/>
          </w:tcPr>
          <w:p w14:paraId="524B245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检测频次</w:t>
            </w:r>
          </w:p>
        </w:tc>
        <w:tc>
          <w:tcPr>
            <w:tcW w:w="1551" w:type="dxa"/>
            <w:noWrap w:val="0"/>
            <w:vAlign w:val="center"/>
          </w:tcPr>
          <w:p w14:paraId="27434F6F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125" w:type="dxa"/>
            <w:noWrap w:val="0"/>
            <w:vAlign w:val="center"/>
          </w:tcPr>
          <w:p w14:paraId="61E7BDF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359" w:type="dxa"/>
            <w:noWrap w:val="0"/>
            <w:vAlign w:val="center"/>
          </w:tcPr>
          <w:p w14:paraId="02BEF7F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443" w:type="dxa"/>
            <w:noWrap w:val="0"/>
            <w:vAlign w:val="center"/>
          </w:tcPr>
          <w:p w14:paraId="53FAFE4F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681" w:type="dxa"/>
            <w:noWrap w:val="0"/>
            <w:vAlign w:val="center"/>
          </w:tcPr>
          <w:p w14:paraId="009FF90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882" w:type="dxa"/>
            <w:noWrap w:val="0"/>
            <w:vAlign w:val="center"/>
          </w:tcPr>
          <w:p w14:paraId="435DFBE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2168" w:type="dxa"/>
            <w:noWrap w:val="0"/>
            <w:vAlign w:val="center"/>
          </w:tcPr>
          <w:p w14:paraId="7FCEFC1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2335" w:type="dxa"/>
            <w:noWrap w:val="0"/>
            <w:vAlign w:val="center"/>
          </w:tcPr>
          <w:p w14:paraId="769DDE4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</w:tr>
      <w:tr w14:paraId="0F23F7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2033" w:type="dxa"/>
            <w:noWrap w:val="0"/>
            <w:vAlign w:val="center"/>
          </w:tcPr>
          <w:p w14:paraId="5E5C6129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合格次数</w:t>
            </w:r>
          </w:p>
        </w:tc>
        <w:tc>
          <w:tcPr>
            <w:tcW w:w="1551" w:type="dxa"/>
            <w:noWrap w:val="0"/>
            <w:vAlign w:val="center"/>
          </w:tcPr>
          <w:p w14:paraId="5C0288E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125" w:type="dxa"/>
            <w:noWrap w:val="0"/>
            <w:vAlign w:val="center"/>
          </w:tcPr>
          <w:p w14:paraId="38F9C3F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359" w:type="dxa"/>
            <w:noWrap w:val="0"/>
            <w:vAlign w:val="center"/>
          </w:tcPr>
          <w:p w14:paraId="5EA56BE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443" w:type="dxa"/>
            <w:noWrap w:val="0"/>
            <w:vAlign w:val="center"/>
          </w:tcPr>
          <w:p w14:paraId="4C9E1DBA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681" w:type="dxa"/>
            <w:noWrap w:val="0"/>
            <w:vAlign w:val="center"/>
          </w:tcPr>
          <w:p w14:paraId="2B4E6C59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882" w:type="dxa"/>
            <w:noWrap w:val="0"/>
            <w:vAlign w:val="center"/>
          </w:tcPr>
          <w:p w14:paraId="3EC00BB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2168" w:type="dxa"/>
            <w:noWrap w:val="0"/>
            <w:vAlign w:val="center"/>
          </w:tcPr>
          <w:p w14:paraId="3F52A66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2335" w:type="dxa"/>
            <w:noWrap w:val="0"/>
            <w:vAlign w:val="center"/>
          </w:tcPr>
          <w:p w14:paraId="5DE4282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</w:tr>
      <w:tr w14:paraId="7E29AC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2033" w:type="dxa"/>
            <w:noWrap w:val="0"/>
            <w:vAlign w:val="center"/>
          </w:tcPr>
          <w:p w14:paraId="15C5A8A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合格率（%）</w:t>
            </w:r>
          </w:p>
        </w:tc>
        <w:tc>
          <w:tcPr>
            <w:tcW w:w="1551" w:type="dxa"/>
            <w:noWrap w:val="0"/>
            <w:vAlign w:val="center"/>
          </w:tcPr>
          <w:p w14:paraId="26705D6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125" w:type="dxa"/>
            <w:noWrap w:val="0"/>
            <w:vAlign w:val="center"/>
          </w:tcPr>
          <w:p w14:paraId="389951E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359" w:type="dxa"/>
            <w:noWrap w:val="0"/>
            <w:vAlign w:val="center"/>
          </w:tcPr>
          <w:p w14:paraId="65BAC2C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443" w:type="dxa"/>
            <w:noWrap w:val="0"/>
            <w:vAlign w:val="center"/>
          </w:tcPr>
          <w:p w14:paraId="7C19C56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681" w:type="dxa"/>
            <w:noWrap w:val="0"/>
            <w:vAlign w:val="center"/>
          </w:tcPr>
          <w:p w14:paraId="559AEF9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882" w:type="dxa"/>
            <w:noWrap w:val="0"/>
            <w:vAlign w:val="center"/>
          </w:tcPr>
          <w:p w14:paraId="0E7AEA3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2168" w:type="dxa"/>
            <w:noWrap w:val="0"/>
            <w:vAlign w:val="center"/>
          </w:tcPr>
          <w:p w14:paraId="071FAD7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2335" w:type="dxa"/>
            <w:noWrap w:val="0"/>
            <w:vAlign w:val="center"/>
          </w:tcPr>
          <w:p w14:paraId="73CDB60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</w:tr>
      <w:tr w14:paraId="611817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2033" w:type="dxa"/>
            <w:noWrap w:val="0"/>
            <w:vAlign w:val="center"/>
          </w:tcPr>
          <w:p w14:paraId="6CB90D5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检测结果</w:t>
            </w:r>
          </w:p>
        </w:tc>
        <w:tc>
          <w:tcPr>
            <w:tcW w:w="1551" w:type="dxa"/>
            <w:noWrap w:val="0"/>
            <w:vAlign w:val="center"/>
          </w:tcPr>
          <w:p w14:paraId="33140E7E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0.425</w:t>
            </w:r>
            <w:r>
              <w:rPr>
                <w:rFonts w:hint="eastAsia"/>
                <w:sz w:val="24"/>
              </w:rPr>
              <w:t>~</w:t>
            </w:r>
            <w:r>
              <w:rPr>
                <w:rFonts w:hint="eastAsia"/>
                <w:sz w:val="24"/>
                <w:lang w:val="en-US" w:eastAsia="zh-CN"/>
              </w:rPr>
              <w:t>0.9123</w:t>
            </w:r>
          </w:p>
        </w:tc>
        <w:tc>
          <w:tcPr>
            <w:tcW w:w="1125" w:type="dxa"/>
            <w:noWrap w:val="0"/>
            <w:vAlign w:val="center"/>
          </w:tcPr>
          <w:p w14:paraId="5359FC3F"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</w:t>
            </w:r>
            <w:r>
              <w:rPr>
                <w:rFonts w:hint="eastAsia"/>
                <w:sz w:val="24"/>
              </w:rPr>
              <w:t>~</w:t>
            </w:r>
            <w:r>
              <w:rPr>
                <w:rFonts w:hint="eastAsia"/>
                <w:sz w:val="24"/>
                <w:lang w:val="en-US" w:eastAsia="zh-CN"/>
              </w:rPr>
              <w:t>7</w:t>
            </w:r>
          </w:p>
        </w:tc>
        <w:tc>
          <w:tcPr>
            <w:tcW w:w="1359" w:type="dxa"/>
            <w:noWrap w:val="0"/>
            <w:vAlign w:val="center"/>
          </w:tcPr>
          <w:p w14:paraId="14EFF17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无</w:t>
            </w:r>
          </w:p>
        </w:tc>
        <w:tc>
          <w:tcPr>
            <w:tcW w:w="1443" w:type="dxa"/>
            <w:noWrap w:val="0"/>
            <w:vAlign w:val="center"/>
          </w:tcPr>
          <w:p w14:paraId="3B04203C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0.02</w:t>
            </w:r>
            <w:r>
              <w:rPr>
                <w:rFonts w:hint="eastAsia"/>
                <w:sz w:val="24"/>
              </w:rPr>
              <w:t>~</w:t>
            </w:r>
            <w:r>
              <w:rPr>
                <w:rFonts w:hint="eastAsia"/>
                <w:sz w:val="24"/>
                <w:lang w:val="en-US" w:eastAsia="zh-CN"/>
              </w:rPr>
              <w:t>0.10</w:t>
            </w:r>
          </w:p>
        </w:tc>
        <w:tc>
          <w:tcPr>
            <w:tcW w:w="1681" w:type="dxa"/>
            <w:noWrap w:val="0"/>
            <w:vAlign w:val="center"/>
          </w:tcPr>
          <w:p w14:paraId="3187F08E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0.03</w:t>
            </w:r>
            <w:r>
              <w:rPr>
                <w:rFonts w:hint="eastAsia"/>
                <w:sz w:val="24"/>
              </w:rPr>
              <w:t>~</w:t>
            </w:r>
            <w:r>
              <w:rPr>
                <w:rFonts w:hint="eastAsia"/>
                <w:sz w:val="24"/>
                <w:lang w:val="en-US" w:eastAsia="zh-CN"/>
              </w:rPr>
              <w:t>0.21</w:t>
            </w:r>
          </w:p>
        </w:tc>
        <w:tc>
          <w:tcPr>
            <w:tcW w:w="1882" w:type="dxa"/>
            <w:noWrap w:val="0"/>
            <w:vAlign w:val="center"/>
          </w:tcPr>
          <w:p w14:paraId="09A87D74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14</w:t>
            </w:r>
            <w:r>
              <w:rPr>
                <w:rFonts w:hint="eastAsia"/>
                <w:sz w:val="24"/>
              </w:rPr>
              <w:t>~</w:t>
            </w:r>
            <w:r>
              <w:rPr>
                <w:rFonts w:hint="eastAsia"/>
                <w:sz w:val="24"/>
                <w:lang w:val="en-US" w:eastAsia="zh-CN"/>
              </w:rPr>
              <w:t>35</w:t>
            </w:r>
          </w:p>
        </w:tc>
        <w:tc>
          <w:tcPr>
            <w:tcW w:w="2168" w:type="dxa"/>
            <w:noWrap w:val="0"/>
            <w:vAlign w:val="center"/>
          </w:tcPr>
          <w:p w14:paraId="059E9C6A"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0</w:t>
            </w:r>
          </w:p>
        </w:tc>
        <w:tc>
          <w:tcPr>
            <w:tcW w:w="2335" w:type="dxa"/>
            <w:noWrap w:val="0"/>
            <w:vAlign w:val="center"/>
          </w:tcPr>
          <w:p w14:paraId="2B123048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0.54</w:t>
            </w:r>
            <w:r>
              <w:rPr>
                <w:rFonts w:hint="eastAsia"/>
                <w:sz w:val="24"/>
              </w:rPr>
              <w:t>~</w:t>
            </w:r>
            <w:r>
              <w:rPr>
                <w:rFonts w:hint="eastAsia"/>
                <w:sz w:val="24"/>
                <w:lang w:val="en-US" w:eastAsia="zh-CN"/>
              </w:rPr>
              <w:t>0.82</w:t>
            </w:r>
          </w:p>
        </w:tc>
      </w:tr>
      <w:tr w14:paraId="3BDCD0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2033" w:type="dxa"/>
            <w:noWrap w:val="0"/>
            <w:vAlign w:val="center"/>
          </w:tcPr>
          <w:p w14:paraId="58E8A2D6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GB5749-20</w:t>
            </w:r>
            <w:r>
              <w:rPr>
                <w:rFonts w:hint="eastAsia"/>
                <w:sz w:val="24"/>
                <w:lang w:val="en-US" w:eastAsia="zh-CN"/>
              </w:rPr>
              <w:t>22</w:t>
            </w:r>
          </w:p>
        </w:tc>
        <w:tc>
          <w:tcPr>
            <w:tcW w:w="1551" w:type="dxa"/>
            <w:noWrap w:val="0"/>
            <w:vAlign w:val="center"/>
          </w:tcPr>
          <w:p w14:paraId="2FF74071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≤1</w:t>
            </w:r>
          </w:p>
        </w:tc>
        <w:tc>
          <w:tcPr>
            <w:tcW w:w="1125" w:type="dxa"/>
            <w:noWrap w:val="0"/>
            <w:vAlign w:val="center"/>
          </w:tcPr>
          <w:p w14:paraId="15E5A5B4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≤15</w:t>
            </w:r>
          </w:p>
        </w:tc>
        <w:tc>
          <w:tcPr>
            <w:tcW w:w="1359" w:type="dxa"/>
            <w:noWrap w:val="0"/>
            <w:vAlign w:val="center"/>
          </w:tcPr>
          <w:p w14:paraId="302AC4C0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无</w:t>
            </w:r>
            <w:r>
              <w:rPr>
                <w:rFonts w:hint="eastAsia"/>
                <w:sz w:val="24"/>
                <w:lang w:eastAsia="zh-CN"/>
              </w:rPr>
              <w:t>异臭、异味</w:t>
            </w:r>
          </w:p>
        </w:tc>
        <w:tc>
          <w:tcPr>
            <w:tcW w:w="1443" w:type="dxa"/>
            <w:noWrap w:val="0"/>
            <w:vAlign w:val="center"/>
          </w:tcPr>
          <w:p w14:paraId="0ABF2FB9">
            <w:pPr>
              <w:jc w:val="center"/>
              <w:rPr>
                <w:rFonts w:hint="eastAsia" w:ascii="Times New Roman" w:hAnsi="Times New Roman" w:cs="Times New Roman"/>
                <w:sz w:val="24"/>
                <w:lang w:val="en-US" w:eastAsia="zh-CN"/>
              </w:rPr>
            </w:pPr>
            <w:r>
              <w:rPr>
                <w:rFonts w:hint="eastAsia" w:cs="Times New Roman"/>
                <w:sz w:val="24"/>
                <w:lang w:eastAsia="zh-CN"/>
              </w:rPr>
              <w:t>管网水</w:t>
            </w:r>
            <w:r>
              <w:rPr>
                <w:rFonts w:hint="eastAsia" w:ascii="Times New Roman" w:hAnsi="Times New Roman" w:cs="Times New Roman"/>
                <w:sz w:val="24"/>
              </w:rPr>
              <w:t>≤</w:t>
            </w: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2</w:t>
            </w:r>
          </w:p>
        </w:tc>
        <w:tc>
          <w:tcPr>
            <w:tcW w:w="1681" w:type="dxa"/>
            <w:noWrap w:val="0"/>
            <w:vAlign w:val="center"/>
          </w:tcPr>
          <w:p w14:paraId="6AE2949B">
            <w:pPr>
              <w:jc w:val="center"/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eastAsia" w:cs="Times New Roman"/>
                <w:sz w:val="24"/>
                <w:lang w:val="en-US" w:eastAsia="zh-CN"/>
              </w:rPr>
              <w:t>管网水≥0.02</w:t>
            </w:r>
          </w:p>
        </w:tc>
        <w:tc>
          <w:tcPr>
            <w:tcW w:w="1882" w:type="dxa"/>
            <w:noWrap w:val="0"/>
            <w:vAlign w:val="center"/>
          </w:tcPr>
          <w:p w14:paraId="6FF60BB0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≤100</w:t>
            </w:r>
          </w:p>
        </w:tc>
        <w:tc>
          <w:tcPr>
            <w:tcW w:w="2168" w:type="dxa"/>
            <w:noWrap w:val="0"/>
            <w:vAlign w:val="center"/>
          </w:tcPr>
          <w:p w14:paraId="66FFBDEB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不</w:t>
            </w:r>
            <w:r>
              <w:rPr>
                <w:rFonts w:hint="eastAsia"/>
                <w:sz w:val="24"/>
                <w:lang w:eastAsia="zh-CN"/>
              </w:rPr>
              <w:t>应</w:t>
            </w:r>
            <w:r>
              <w:rPr>
                <w:rFonts w:hint="eastAsia"/>
                <w:sz w:val="24"/>
              </w:rPr>
              <w:t>检出</w:t>
            </w:r>
          </w:p>
        </w:tc>
        <w:tc>
          <w:tcPr>
            <w:tcW w:w="2335" w:type="dxa"/>
            <w:noWrap w:val="0"/>
            <w:vAlign w:val="center"/>
          </w:tcPr>
          <w:p w14:paraId="50B5F3A2"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≤3</w:t>
            </w:r>
          </w:p>
        </w:tc>
      </w:tr>
    </w:tbl>
    <w:p w14:paraId="31740157">
      <w:bookmarkStart w:id="0" w:name="_GoBack"/>
      <w:bookmarkEnd w:id="0"/>
    </w:p>
    <w:sectPr>
      <w:pgSz w:w="16838" w:h="11906" w:orient="landscape"/>
      <w:pgMar w:top="890" w:right="1440" w:bottom="89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NmMWEzZjJlNTllOGE0NzNkOWQ5YjNmYTMxMDRjNWIifQ=="/>
  </w:docVars>
  <w:rsids>
    <w:rsidRoot w:val="60A62F89"/>
    <w:rsid w:val="05980E80"/>
    <w:rsid w:val="078132CC"/>
    <w:rsid w:val="082F5B98"/>
    <w:rsid w:val="097F522E"/>
    <w:rsid w:val="0ED4418C"/>
    <w:rsid w:val="1A3E7DCD"/>
    <w:rsid w:val="1B5654E4"/>
    <w:rsid w:val="1D560861"/>
    <w:rsid w:val="1FEB4B88"/>
    <w:rsid w:val="21D04BA8"/>
    <w:rsid w:val="23BE5E08"/>
    <w:rsid w:val="2593660F"/>
    <w:rsid w:val="368B2726"/>
    <w:rsid w:val="3E3B0AD9"/>
    <w:rsid w:val="4CE93C61"/>
    <w:rsid w:val="4DCC38C8"/>
    <w:rsid w:val="4F9861EC"/>
    <w:rsid w:val="50F9059E"/>
    <w:rsid w:val="56160B8B"/>
    <w:rsid w:val="5EE5688C"/>
    <w:rsid w:val="60A62F89"/>
    <w:rsid w:val="631F0E6C"/>
    <w:rsid w:val="656574CB"/>
    <w:rsid w:val="66D21E00"/>
    <w:rsid w:val="74D92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427</Words>
  <Characters>729</Characters>
  <Lines>0</Lines>
  <Paragraphs>0</Paragraphs>
  <TotalTime>3</TotalTime>
  <ScaleCrop>false</ScaleCrop>
  <LinksUpToDate>false</LinksUpToDate>
  <CharactersWithSpaces>729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2024-01-02T07:58:00Z</dcterms:created>
  <dc:creator>Administrator</dc:creator>
  <cp:lastModifiedBy>可可妈妈</cp:lastModifiedBy>
  <dcterms:modified xsi:type="dcterms:W3CDTF">2025-01-03T01:55:30Z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17B6A31DCF854391BCF97956AF30ADE9_11</vt:lpwstr>
  </property>
  <property fmtid="{D5CDD505-2E9C-101B-9397-08002B2CF9AE}" pid="4" name="KSOTemplateDocerSaveRecord">
    <vt:lpwstr>eyJoZGlkIjoiYzNmMWEzZjJlNTllOGE0NzNkOWQ5YjNmYTMxMDRjNWIiLCJ1c2VySWQiOiI1MzA0ODIwNTQifQ==</vt:lpwstr>
  </property>
</Properties>
</file>